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CB6B" w14:textId="77777777" w:rsidR="00265671" w:rsidRPr="003C27C0" w:rsidRDefault="00265671" w:rsidP="00265671">
      <w:pPr>
        <w:pStyle w:val="BodyText"/>
        <w:tabs>
          <w:tab w:val="clear" w:pos="8640"/>
        </w:tabs>
        <w:ind w:firstLine="0"/>
        <w:jc w:val="center"/>
        <w:rPr>
          <w:color w:val="000000" w:themeColor="text1"/>
        </w:rPr>
      </w:pPr>
      <w:r>
        <w:rPr>
          <w:color w:val="000000" w:themeColor="text1"/>
        </w:rPr>
        <w:t>The Effect of Remedial Courses on Participation and Persistence Among Online Community College Students</w:t>
      </w:r>
    </w:p>
    <w:p w14:paraId="4AF842A3" w14:textId="73D1CF5E" w:rsidR="009C51D8" w:rsidRPr="009C51D8" w:rsidRDefault="00906437" w:rsidP="009C51D8">
      <w:pPr>
        <w:pStyle w:val="TitleOfPaperCover"/>
        <w:tabs>
          <w:tab w:val="clear" w:pos="8640"/>
        </w:tabs>
      </w:pPr>
      <w:r>
        <w:rPr>
          <w:rStyle w:val="Style1"/>
        </w:rPr>
        <w:t xml:space="preserve">Jasmine Smith </w:t>
      </w:r>
    </w:p>
    <w:p w14:paraId="4AF842A4" w14:textId="77777777" w:rsidR="00583355" w:rsidRPr="009C51D8" w:rsidRDefault="00922508" w:rsidP="009C51D8">
      <w:pPr>
        <w:pStyle w:val="AuthorInfo"/>
        <w:tabs>
          <w:tab w:val="clear" w:pos="8640"/>
        </w:tabs>
        <w:rPr>
          <w:b/>
        </w:rPr>
        <w:sectPr w:rsidR="00583355" w:rsidRPr="009C51D8" w:rsidSect="009C51D8">
          <w:headerReference w:type="default" r:id="rId8"/>
          <w:headerReference w:type="first" r:id="rId9"/>
          <w:pgSz w:w="12240" w:h="15840" w:code="1"/>
          <w:pgMar w:top="1440" w:right="1440" w:bottom="1440" w:left="1440" w:header="720" w:footer="720" w:gutter="0"/>
          <w:pgNumType w:start="1"/>
          <w:cols w:space="360"/>
          <w:vAlign w:val="center"/>
          <w:titlePg/>
          <w:docGrid w:linePitch="326"/>
        </w:sectPr>
      </w:pPr>
      <w:r w:rsidRPr="009C51D8">
        <w:t>Grantham</w:t>
      </w:r>
      <w:r w:rsidR="00583355" w:rsidRPr="009C51D8">
        <w:t xml:space="preserve"> University</w:t>
      </w:r>
      <w:bookmarkStart w:id="0" w:name="_GoBack"/>
      <w:bookmarkEnd w:id="0"/>
    </w:p>
    <w:p w14:paraId="2C76058C" w14:textId="7DAE4E07" w:rsidR="00484BE4" w:rsidRPr="003C27C0" w:rsidRDefault="00024911" w:rsidP="003C27C0">
      <w:pPr>
        <w:pStyle w:val="BodyText"/>
        <w:tabs>
          <w:tab w:val="clear" w:pos="8640"/>
        </w:tabs>
        <w:ind w:firstLine="0"/>
        <w:jc w:val="center"/>
        <w:rPr>
          <w:color w:val="000000" w:themeColor="text1"/>
        </w:rPr>
      </w:pPr>
      <w:bookmarkStart w:id="1" w:name="_Hlk531440095"/>
      <w:r>
        <w:rPr>
          <w:color w:val="000000" w:themeColor="text1"/>
        </w:rPr>
        <w:lastRenderedPageBreak/>
        <w:t xml:space="preserve">The Effect of Remedial </w:t>
      </w:r>
      <w:r w:rsidR="00830763">
        <w:rPr>
          <w:color w:val="000000" w:themeColor="text1"/>
        </w:rPr>
        <w:t xml:space="preserve">Courses </w:t>
      </w:r>
      <w:r w:rsidR="003838AD">
        <w:rPr>
          <w:color w:val="000000" w:themeColor="text1"/>
        </w:rPr>
        <w:t xml:space="preserve">on </w:t>
      </w:r>
      <w:r w:rsidR="00EA00B2">
        <w:rPr>
          <w:color w:val="000000" w:themeColor="text1"/>
        </w:rPr>
        <w:t>Participation and Persistence</w:t>
      </w:r>
      <w:r w:rsidR="00830763">
        <w:rPr>
          <w:color w:val="000000" w:themeColor="text1"/>
        </w:rPr>
        <w:t xml:space="preserve"> Among Online Community College Students</w:t>
      </w:r>
    </w:p>
    <w:bookmarkEnd w:id="1"/>
    <w:p w14:paraId="071534A6" w14:textId="57B38BCC" w:rsidR="00D65955" w:rsidRPr="003C27C0" w:rsidRDefault="00D65955" w:rsidP="003C27C0">
      <w:pPr>
        <w:spacing w:line="480" w:lineRule="auto"/>
        <w:ind w:firstLine="720"/>
        <w:rPr>
          <w:b/>
          <w:bCs/>
          <w:color w:val="000000" w:themeColor="text1"/>
        </w:rPr>
      </w:pPr>
      <w:r w:rsidRPr="00D65955">
        <w:rPr>
          <w:rFonts w:eastAsiaTheme="minorEastAsia"/>
          <w:color w:val="000000" w:themeColor="text1"/>
          <w:kern w:val="24"/>
        </w:rPr>
        <w:t>Competition for employment and job satisfaction are driving forces for obtaining a post-secondary degree.</w:t>
      </w:r>
      <w:r w:rsidR="00C02B0D">
        <w:rPr>
          <w:rFonts w:eastAsiaTheme="minorEastAsia"/>
          <w:color w:val="000000" w:themeColor="text1"/>
          <w:kern w:val="24"/>
        </w:rPr>
        <w:t xml:space="preserve">  </w:t>
      </w:r>
      <w:r w:rsidRPr="00D65955">
        <w:rPr>
          <w:rFonts w:eastAsiaTheme="minorEastAsia"/>
          <w:color w:val="000000" w:themeColor="text1"/>
          <w:kern w:val="24"/>
        </w:rPr>
        <w:t>The U.S. Department of Education (2015) reported higher levels of education resulted in a higher employment rate in 2014.</w:t>
      </w:r>
      <w:r w:rsidR="00C02B0D">
        <w:rPr>
          <w:rFonts w:eastAsiaTheme="minorEastAsia"/>
          <w:color w:val="000000" w:themeColor="text1"/>
          <w:kern w:val="24"/>
        </w:rPr>
        <w:t xml:space="preserve">  </w:t>
      </w:r>
      <w:r w:rsidRPr="00D65955">
        <w:rPr>
          <w:rFonts w:eastAsiaTheme="minorEastAsia"/>
          <w:color w:val="000000" w:themeColor="text1"/>
          <w:kern w:val="24"/>
        </w:rPr>
        <w:t>More Americans are pursuing higher education than ever before and by 2026 undergraduate enrollment rates are expected to increase (Institute of Education Sciences, 2017).</w:t>
      </w:r>
      <w:r w:rsidR="00C02B0D">
        <w:rPr>
          <w:rFonts w:eastAsiaTheme="minorEastAsia"/>
          <w:color w:val="000000" w:themeColor="text1"/>
          <w:kern w:val="24"/>
        </w:rPr>
        <w:t xml:space="preserve">  </w:t>
      </w:r>
      <w:r w:rsidRPr="00D65955">
        <w:rPr>
          <w:rFonts w:eastAsiaTheme="minorEastAsia"/>
          <w:bCs/>
          <w:color w:val="000000" w:themeColor="text1"/>
          <w:kern w:val="24"/>
        </w:rPr>
        <w:t>Technology</w:t>
      </w:r>
      <w:r w:rsidRPr="00D65955">
        <w:rPr>
          <w:rFonts w:eastAsiaTheme="minorEastAsia"/>
          <w:color w:val="000000" w:themeColor="text1"/>
          <w:kern w:val="24"/>
        </w:rPr>
        <w:t xml:space="preserve"> has enabled students to advance their </w:t>
      </w:r>
      <w:r w:rsidRPr="00D65955">
        <w:rPr>
          <w:rFonts w:eastAsiaTheme="minorEastAsia"/>
          <w:bCs/>
          <w:color w:val="000000" w:themeColor="text1"/>
          <w:kern w:val="24"/>
        </w:rPr>
        <w:t xml:space="preserve">education </w:t>
      </w:r>
      <w:r w:rsidRPr="00D65955">
        <w:rPr>
          <w:rFonts w:eastAsiaTheme="minorEastAsia"/>
          <w:color w:val="000000" w:themeColor="text1"/>
          <w:kern w:val="24"/>
        </w:rPr>
        <w:t>through online classes.</w:t>
      </w:r>
      <w:r w:rsidR="00C02B0D">
        <w:rPr>
          <w:rFonts w:eastAsiaTheme="minorEastAsia"/>
          <w:color w:val="000000" w:themeColor="text1"/>
          <w:kern w:val="24"/>
        </w:rPr>
        <w:t xml:space="preserve">  </w:t>
      </w:r>
      <w:r w:rsidRPr="00D65955">
        <w:rPr>
          <w:rFonts w:eastAsiaTheme="minorEastAsia"/>
          <w:color w:val="000000" w:themeColor="text1"/>
          <w:kern w:val="24"/>
        </w:rPr>
        <w:t xml:space="preserve">Due to convenience, wide reach, relatively low cost, and ability to support the achievement of learning objectives, distance education is a growing method of education delivery.  Many students who attend online classes work, have families and other obligations which make online schools a good option for pursuing a degree.  However, if a student is not prepared or does not understand the demand of an online education, they may not succeed.  </w:t>
      </w:r>
    </w:p>
    <w:p w14:paraId="276460DA" w14:textId="7F309D73" w:rsidR="00484BE4" w:rsidRPr="003C27C0" w:rsidRDefault="000D1CDE" w:rsidP="003C27C0">
      <w:pPr>
        <w:spacing w:line="480" w:lineRule="auto"/>
        <w:rPr>
          <w:color w:val="000000" w:themeColor="text1"/>
        </w:rPr>
      </w:pPr>
      <w:r w:rsidRPr="003C27C0">
        <w:rPr>
          <w:b/>
          <w:bCs/>
          <w:color w:val="000000" w:themeColor="text1"/>
        </w:rPr>
        <w:t>Statement of the Problem</w:t>
      </w:r>
    </w:p>
    <w:p w14:paraId="2A894804" w14:textId="71359474" w:rsidR="009C304D" w:rsidRPr="003C27C0" w:rsidRDefault="009C304D" w:rsidP="006C4635">
      <w:pPr>
        <w:spacing w:line="480" w:lineRule="auto"/>
        <w:ind w:firstLine="720"/>
        <w:rPr>
          <w:b/>
          <w:bCs/>
          <w:color w:val="000000" w:themeColor="text1"/>
        </w:rPr>
      </w:pPr>
      <w:r w:rsidRPr="009C304D">
        <w:rPr>
          <w:rFonts w:eastAsiaTheme="minorEastAsia"/>
          <w:color w:val="000000" w:themeColor="text1"/>
          <w:kern w:val="24"/>
        </w:rPr>
        <w:t>The problem to be addressed in this study is that students who are not academically prepared to take online courses “consistently perform worse in the online setting than they do in face-to-face classrooms” (</w:t>
      </w:r>
      <w:proofErr w:type="spellStart"/>
      <w:r w:rsidRPr="009C304D">
        <w:rPr>
          <w:rFonts w:eastAsiaTheme="minorEastAsia"/>
          <w:color w:val="000000" w:themeColor="text1"/>
          <w:kern w:val="24"/>
        </w:rPr>
        <w:t>Bettinger</w:t>
      </w:r>
      <w:proofErr w:type="spellEnd"/>
      <w:r w:rsidRPr="009C304D">
        <w:rPr>
          <w:rFonts w:eastAsiaTheme="minorEastAsia"/>
          <w:color w:val="000000" w:themeColor="text1"/>
          <w:kern w:val="24"/>
        </w:rPr>
        <w:t xml:space="preserve"> &amp; Loeb, 2017).  A 2010 U.S.  Department of Education study concluded that online versus face-to-face courses produce similar results.  However, recent studies have argued that underprepared students struggle in online classes (Baily &amp; </w:t>
      </w:r>
      <w:proofErr w:type="spellStart"/>
      <w:r w:rsidRPr="009C304D">
        <w:rPr>
          <w:rFonts w:eastAsiaTheme="minorEastAsia"/>
          <w:color w:val="000000" w:themeColor="text1"/>
          <w:kern w:val="24"/>
        </w:rPr>
        <w:t>Jaggers</w:t>
      </w:r>
      <w:proofErr w:type="spellEnd"/>
      <w:r w:rsidRPr="009C304D">
        <w:rPr>
          <w:rFonts w:eastAsiaTheme="minorEastAsia"/>
          <w:color w:val="000000" w:themeColor="text1"/>
          <w:kern w:val="24"/>
        </w:rPr>
        <w:t xml:space="preserve">, 2016; </w:t>
      </w:r>
      <w:proofErr w:type="spellStart"/>
      <w:r w:rsidRPr="009C304D">
        <w:rPr>
          <w:rFonts w:eastAsiaTheme="minorEastAsia"/>
          <w:color w:val="000000" w:themeColor="text1"/>
          <w:kern w:val="24"/>
        </w:rPr>
        <w:t>Bettinger</w:t>
      </w:r>
      <w:proofErr w:type="spellEnd"/>
      <w:r w:rsidRPr="009C304D">
        <w:rPr>
          <w:rFonts w:eastAsiaTheme="minorEastAsia"/>
          <w:color w:val="000000" w:themeColor="text1"/>
          <w:kern w:val="24"/>
        </w:rPr>
        <w:t xml:space="preserve"> &amp; Loeb, 2017).  Still other studies have concluded that remedial courses are helpful, but the cost offset and time requirements to the student serve as a deterrent to taking remedial courses (Lundy, 2017; Saks &amp; Truman, 2017).  Considering the advantages of higher </w:t>
      </w:r>
      <w:r w:rsidRPr="009C304D">
        <w:rPr>
          <w:rFonts w:eastAsiaTheme="minorEastAsia"/>
          <w:color w:val="000000" w:themeColor="text1"/>
          <w:kern w:val="24"/>
        </w:rPr>
        <w:lastRenderedPageBreak/>
        <w:t xml:space="preserve">education and the conflicting nature of previous research, a careful examination of the effects of remedial courses in the online environment is needed. </w:t>
      </w:r>
    </w:p>
    <w:p w14:paraId="47532004" w14:textId="72F7E140" w:rsidR="000D1CDE" w:rsidRPr="003C27C0" w:rsidRDefault="000D1CDE" w:rsidP="003C27C0">
      <w:pPr>
        <w:spacing w:line="480" w:lineRule="auto"/>
        <w:rPr>
          <w:color w:val="000000" w:themeColor="text1"/>
        </w:rPr>
      </w:pPr>
      <w:r w:rsidRPr="003C27C0">
        <w:rPr>
          <w:b/>
          <w:bCs/>
          <w:color w:val="000000" w:themeColor="text1"/>
        </w:rPr>
        <w:t>Purpose of the Study</w:t>
      </w:r>
    </w:p>
    <w:p w14:paraId="6317D5C0" w14:textId="243FB89C" w:rsidR="009C304D" w:rsidRPr="009C304D" w:rsidRDefault="009C304D" w:rsidP="003C27C0">
      <w:pPr>
        <w:spacing w:line="480" w:lineRule="auto"/>
        <w:ind w:firstLine="720"/>
      </w:pPr>
      <w:r w:rsidRPr="009C304D">
        <w:rPr>
          <w:rFonts w:eastAsiaTheme="minorEastAsia"/>
          <w:color w:val="000000" w:themeColor="text1"/>
          <w:kern w:val="24"/>
        </w:rPr>
        <w:t xml:space="preserve">The purpose of this study to investigate the use of remedial programs in preparing underprepared students to succeed in the online education setting.  </w:t>
      </w:r>
      <w:r w:rsidR="0039287A">
        <w:rPr>
          <w:rFonts w:eastAsiaTheme="minorEastAsia"/>
          <w:color w:val="000000" w:themeColor="text1"/>
          <w:kern w:val="24"/>
        </w:rPr>
        <w:t>Through the lenses of technology and education, a</w:t>
      </w:r>
      <w:r w:rsidRPr="009C304D">
        <w:rPr>
          <w:rFonts w:eastAsiaTheme="minorEastAsia"/>
          <w:color w:val="000000" w:themeColor="text1"/>
          <w:kern w:val="24"/>
        </w:rPr>
        <w:t xml:space="preserve"> meta-analysis of recent quantitative and qualitative studies will be used to synthesize information about remedial programs as a method of enhancing student’s readiness for the demands of the online setting.  Meta-analysis is the procedure for combining data from multiple studies.</w:t>
      </w:r>
      <w:r w:rsidR="00C02B0D">
        <w:rPr>
          <w:rFonts w:eastAsiaTheme="minorEastAsia"/>
          <w:color w:val="000000" w:themeColor="text1"/>
          <w:kern w:val="24"/>
        </w:rPr>
        <w:t xml:space="preserve">  </w:t>
      </w:r>
      <w:r w:rsidRPr="009C304D">
        <w:rPr>
          <w:rFonts w:eastAsiaTheme="minorEastAsia"/>
          <w:color w:val="000000" w:themeColor="text1"/>
          <w:kern w:val="24"/>
        </w:rPr>
        <w:t xml:space="preserve">The topic of online education is broad and covers public universities, community colleges, for-profit universities and many other forms of online education.  </w:t>
      </w:r>
      <w:r w:rsidR="005F10E3">
        <w:rPr>
          <w:rFonts w:eastAsiaTheme="minorEastAsia"/>
          <w:color w:val="000000" w:themeColor="text1"/>
          <w:kern w:val="24"/>
        </w:rPr>
        <w:t>To</w:t>
      </w:r>
      <w:r w:rsidRPr="009C304D">
        <w:rPr>
          <w:rFonts w:eastAsiaTheme="minorEastAsia"/>
          <w:color w:val="000000" w:themeColor="text1"/>
          <w:kern w:val="24"/>
        </w:rPr>
        <w:t xml:space="preserve"> narrow the scope, this study will specifically investigate the community college population. </w:t>
      </w:r>
    </w:p>
    <w:p w14:paraId="5DA40112" w14:textId="69E6C55C" w:rsidR="006B1883" w:rsidRPr="003C27C0" w:rsidRDefault="000D1CDE" w:rsidP="003C27C0">
      <w:pPr>
        <w:spacing w:line="480" w:lineRule="auto"/>
        <w:rPr>
          <w:b/>
          <w:bCs/>
          <w:color w:val="000000" w:themeColor="text1"/>
        </w:rPr>
      </w:pPr>
      <w:r w:rsidRPr="003C27C0">
        <w:rPr>
          <w:b/>
          <w:bCs/>
          <w:color w:val="000000" w:themeColor="text1"/>
        </w:rPr>
        <w:t>Research Questions</w:t>
      </w:r>
    </w:p>
    <w:p w14:paraId="7EF3301F" w14:textId="77777777" w:rsidR="00A74642" w:rsidRPr="00A74642" w:rsidRDefault="00A74642" w:rsidP="003C27C0">
      <w:pPr>
        <w:spacing w:line="480" w:lineRule="auto"/>
        <w:ind w:firstLine="720"/>
      </w:pPr>
      <w:r w:rsidRPr="00A74642">
        <w:rPr>
          <w:rFonts w:eastAsiaTheme="minorEastAsia"/>
          <w:color w:val="000000" w:themeColor="text1"/>
          <w:kern w:val="24"/>
        </w:rPr>
        <w:t>Remedial programs often involve developmental courses in math, reading and English.  When students take remedial courses prior to fully matriculating into a school, it extends graduation time and often costs the student out of pocket.  Understanding how the benefits and disadvantages associated with remedial courses affect student persistence and decisions to participate can provide administrators the necessary information to promote, enhance or omit remedial programs.  Therefore, the following research questions will guide this study:</w:t>
      </w:r>
    </w:p>
    <w:p w14:paraId="44096E37" w14:textId="50C7602E" w:rsidR="0021316A" w:rsidRPr="00A74642" w:rsidRDefault="0021316A" w:rsidP="0021316A">
      <w:pPr>
        <w:spacing w:line="480" w:lineRule="auto"/>
        <w:ind w:left="720"/>
      </w:pPr>
      <w:r w:rsidRPr="00A74642">
        <w:rPr>
          <w:rFonts w:eastAsiaTheme="minorEastAsia"/>
          <w:color w:val="000000" w:themeColor="text1"/>
          <w:kern w:val="24"/>
        </w:rPr>
        <w:t>Q</w:t>
      </w:r>
      <w:r>
        <w:rPr>
          <w:rFonts w:eastAsiaTheme="minorEastAsia"/>
          <w:color w:val="000000" w:themeColor="text1"/>
          <w:kern w:val="24"/>
        </w:rPr>
        <w:t>1</w:t>
      </w:r>
      <w:r w:rsidRPr="00A74642">
        <w:rPr>
          <w:rFonts w:eastAsiaTheme="minorEastAsia"/>
          <w:color w:val="000000" w:themeColor="text1"/>
          <w:kern w:val="24"/>
        </w:rPr>
        <w:t>: How does the cost and time of remedial programs effect students</w:t>
      </w:r>
      <w:r w:rsidR="00FC64F7">
        <w:rPr>
          <w:rFonts w:eastAsiaTheme="minorEastAsia"/>
          <w:color w:val="000000" w:themeColor="text1"/>
          <w:kern w:val="24"/>
        </w:rPr>
        <w:t>’</w:t>
      </w:r>
      <w:r w:rsidRPr="00A74642">
        <w:rPr>
          <w:rFonts w:eastAsiaTheme="minorEastAsia"/>
          <w:color w:val="000000" w:themeColor="text1"/>
          <w:kern w:val="24"/>
        </w:rPr>
        <w:t xml:space="preserve"> decisions to participate?  </w:t>
      </w:r>
    </w:p>
    <w:p w14:paraId="001FF928" w14:textId="05ABF2B7" w:rsidR="00A74642" w:rsidRPr="00A74642" w:rsidRDefault="00A74642" w:rsidP="003C27C0">
      <w:pPr>
        <w:spacing w:line="480" w:lineRule="auto"/>
        <w:ind w:left="720"/>
      </w:pPr>
      <w:r w:rsidRPr="00A74642">
        <w:rPr>
          <w:rFonts w:eastAsiaTheme="minorEastAsia"/>
          <w:color w:val="000000" w:themeColor="text1"/>
          <w:kern w:val="24"/>
        </w:rPr>
        <w:t>Q</w:t>
      </w:r>
      <w:r w:rsidR="0021316A">
        <w:rPr>
          <w:rFonts w:eastAsiaTheme="minorEastAsia"/>
          <w:color w:val="000000" w:themeColor="text1"/>
          <w:kern w:val="24"/>
        </w:rPr>
        <w:t>2</w:t>
      </w:r>
      <w:r w:rsidRPr="00A74642">
        <w:rPr>
          <w:rFonts w:eastAsiaTheme="minorEastAsia"/>
          <w:color w:val="000000" w:themeColor="text1"/>
          <w:kern w:val="24"/>
        </w:rPr>
        <w:t xml:space="preserve">: How do remedial courses effect underprepared student’s persistence to graduate from online community college courses? </w:t>
      </w:r>
    </w:p>
    <w:p w14:paraId="267B1F17" w14:textId="77777777" w:rsidR="0039287A" w:rsidRDefault="0039287A" w:rsidP="003C27C0">
      <w:pPr>
        <w:spacing w:line="480" w:lineRule="auto"/>
        <w:rPr>
          <w:b/>
          <w:bCs/>
          <w:color w:val="000000" w:themeColor="text1"/>
        </w:rPr>
      </w:pPr>
    </w:p>
    <w:p w14:paraId="2B835460" w14:textId="01A4B331" w:rsidR="000D1CDE" w:rsidRPr="003C27C0" w:rsidRDefault="000D1CDE" w:rsidP="003C27C0">
      <w:pPr>
        <w:spacing w:line="480" w:lineRule="auto"/>
        <w:rPr>
          <w:color w:val="000000" w:themeColor="text1"/>
        </w:rPr>
      </w:pPr>
      <w:r w:rsidRPr="003C27C0">
        <w:rPr>
          <w:b/>
          <w:bCs/>
          <w:color w:val="000000" w:themeColor="text1"/>
        </w:rPr>
        <w:lastRenderedPageBreak/>
        <w:t>Study</w:t>
      </w:r>
      <w:r w:rsidR="00837241" w:rsidRPr="003C27C0">
        <w:rPr>
          <w:b/>
          <w:bCs/>
          <w:color w:val="000000" w:themeColor="text1"/>
        </w:rPr>
        <w:t xml:space="preserve"> Significance</w:t>
      </w:r>
    </w:p>
    <w:p w14:paraId="5FECB241" w14:textId="524027ED" w:rsidR="00A74642" w:rsidRPr="00A74642" w:rsidRDefault="00A74642" w:rsidP="003C27C0">
      <w:pPr>
        <w:spacing w:line="480" w:lineRule="auto"/>
        <w:ind w:firstLine="720"/>
      </w:pPr>
      <w:r w:rsidRPr="00A74642">
        <w:rPr>
          <w:rFonts w:eastAsiaTheme="minorEastAsia"/>
          <w:color w:val="000000" w:themeColor="text1"/>
          <w:kern w:val="24"/>
        </w:rPr>
        <w:t>The results of this study will be useful for students and administrators at community colleges offering online courses.</w:t>
      </w:r>
      <w:r w:rsidR="00506EDC">
        <w:rPr>
          <w:rFonts w:eastAsiaTheme="minorEastAsia"/>
          <w:color w:val="000000" w:themeColor="text1"/>
          <w:kern w:val="24"/>
        </w:rPr>
        <w:t xml:space="preserve">  </w:t>
      </w:r>
      <w:r w:rsidRPr="00A74642">
        <w:rPr>
          <w:rFonts w:eastAsiaTheme="minorEastAsia"/>
          <w:color w:val="000000" w:themeColor="text1"/>
          <w:kern w:val="24"/>
        </w:rPr>
        <w:t>Community colleges have higher enrollments of underprepared students than selective universities.  Underprepared students drop out of the online classroom more often than they do the face-to-face classroom (</w:t>
      </w:r>
      <w:proofErr w:type="spellStart"/>
      <w:r w:rsidRPr="00A74642">
        <w:rPr>
          <w:rFonts w:eastAsiaTheme="minorEastAsia"/>
          <w:color w:val="000000" w:themeColor="text1"/>
          <w:kern w:val="24"/>
        </w:rPr>
        <w:t>Bettinger</w:t>
      </w:r>
      <w:proofErr w:type="spellEnd"/>
      <w:r w:rsidRPr="00A74642">
        <w:rPr>
          <w:rFonts w:eastAsiaTheme="minorEastAsia"/>
          <w:color w:val="000000" w:themeColor="text1"/>
          <w:kern w:val="24"/>
        </w:rPr>
        <w:t xml:space="preserve"> &amp; Loeb, 2017).  When students are not academically prepared to take courses, they are often given the option of attending remedial courses. </w:t>
      </w:r>
      <w:r w:rsidR="00575806">
        <w:rPr>
          <w:rFonts w:eastAsiaTheme="minorEastAsia"/>
          <w:color w:val="000000" w:themeColor="text1"/>
          <w:kern w:val="24"/>
        </w:rPr>
        <w:t xml:space="preserve"> </w:t>
      </w:r>
      <w:r w:rsidRPr="00A74642">
        <w:rPr>
          <w:rFonts w:eastAsiaTheme="minorEastAsia"/>
          <w:color w:val="000000" w:themeColor="text1"/>
          <w:kern w:val="24"/>
        </w:rPr>
        <w:t xml:space="preserve">Past studies are in conflict of whether remedial courses affect student persistence to complete online programs.  This study will provide additional support for or against the effectiveness of remedial programs.  Results will support students and administrators in making informed decisions.  This study will also contribute to the existing literature on the topic of underprepared students in the online education setting.  </w:t>
      </w:r>
    </w:p>
    <w:p w14:paraId="7B2B281E" w14:textId="100E05C3" w:rsidR="00484BE4" w:rsidRPr="003C27C0" w:rsidRDefault="00484BE4" w:rsidP="003C27C0">
      <w:pPr>
        <w:spacing w:line="480" w:lineRule="auto"/>
        <w:rPr>
          <w:b/>
          <w:bCs/>
          <w:color w:val="000000" w:themeColor="text1"/>
        </w:rPr>
      </w:pPr>
      <w:r w:rsidRPr="003C27C0">
        <w:rPr>
          <w:b/>
          <w:bCs/>
          <w:color w:val="000000" w:themeColor="text1"/>
        </w:rPr>
        <w:t>Conclusion </w:t>
      </w:r>
    </w:p>
    <w:p w14:paraId="4AF842B1" w14:textId="023D136E" w:rsidR="00B83B4E" w:rsidRDefault="003C27C0" w:rsidP="003C27C0">
      <w:pPr>
        <w:spacing w:line="480" w:lineRule="auto"/>
        <w:ind w:firstLine="720"/>
        <w:rPr>
          <w:rFonts w:eastAsiaTheme="minorEastAsia"/>
          <w:color w:val="000000" w:themeColor="text1"/>
          <w:kern w:val="24"/>
        </w:rPr>
      </w:pPr>
      <w:r w:rsidRPr="003C27C0">
        <w:rPr>
          <w:rFonts w:eastAsiaTheme="minorEastAsia"/>
          <w:bCs/>
          <w:color w:val="000000" w:themeColor="text1"/>
          <w:kern w:val="24"/>
        </w:rPr>
        <w:t>Technology</w:t>
      </w:r>
      <w:r w:rsidRPr="003C27C0">
        <w:rPr>
          <w:rFonts w:eastAsiaTheme="minorEastAsia"/>
          <w:color w:val="000000" w:themeColor="text1"/>
          <w:kern w:val="24"/>
        </w:rPr>
        <w:t xml:space="preserve"> has been instrumental in expanding access to </w:t>
      </w:r>
      <w:r w:rsidRPr="003C27C0">
        <w:rPr>
          <w:rFonts w:eastAsiaTheme="minorEastAsia"/>
          <w:bCs/>
          <w:color w:val="000000" w:themeColor="text1"/>
          <w:kern w:val="24"/>
        </w:rPr>
        <w:t>education</w:t>
      </w:r>
      <w:r w:rsidRPr="003C27C0">
        <w:rPr>
          <w:rFonts w:eastAsiaTheme="minorEastAsia"/>
          <w:color w:val="000000" w:themeColor="text1"/>
          <w:kern w:val="24"/>
        </w:rPr>
        <w:t>.  Students attend online classes to save time and money.  Many students have families and work while attending school.  However, underprepared students don’t persist to complete online programs as well as they do in face-to-face settings (</w:t>
      </w:r>
      <w:proofErr w:type="spellStart"/>
      <w:r w:rsidRPr="003C27C0">
        <w:rPr>
          <w:rFonts w:eastAsiaTheme="minorEastAsia"/>
          <w:color w:val="000000" w:themeColor="text1"/>
          <w:kern w:val="24"/>
        </w:rPr>
        <w:t>Bettinger</w:t>
      </w:r>
      <w:proofErr w:type="spellEnd"/>
      <w:r w:rsidRPr="003C27C0">
        <w:rPr>
          <w:rFonts w:eastAsiaTheme="minorEastAsia"/>
          <w:color w:val="000000" w:themeColor="text1"/>
          <w:kern w:val="24"/>
        </w:rPr>
        <w:t xml:space="preserve"> &amp; Loeb, 2017). </w:t>
      </w:r>
      <w:r w:rsidR="00506EDC">
        <w:rPr>
          <w:rFonts w:eastAsiaTheme="minorEastAsia"/>
          <w:color w:val="000000" w:themeColor="text1"/>
          <w:kern w:val="24"/>
        </w:rPr>
        <w:t xml:space="preserve"> </w:t>
      </w:r>
      <w:r w:rsidRPr="003C27C0">
        <w:rPr>
          <w:rFonts w:eastAsiaTheme="minorEastAsia"/>
          <w:color w:val="000000" w:themeColor="text1"/>
          <w:kern w:val="24"/>
        </w:rPr>
        <w:t xml:space="preserve">Past studies have argued for and against the benefits of remedial courses in better preparing students to succeed. </w:t>
      </w:r>
      <w:r w:rsidR="00506EDC">
        <w:rPr>
          <w:rFonts w:eastAsiaTheme="minorEastAsia"/>
          <w:color w:val="000000" w:themeColor="text1"/>
          <w:kern w:val="24"/>
        </w:rPr>
        <w:t xml:space="preserve"> </w:t>
      </w:r>
      <w:r w:rsidRPr="003C27C0">
        <w:rPr>
          <w:rFonts w:eastAsiaTheme="minorEastAsia"/>
          <w:color w:val="000000" w:themeColor="text1"/>
          <w:kern w:val="24"/>
        </w:rPr>
        <w:t>This study will examine the use of remedial courses in community colleges by conducting a meta-analysis of qualitative and quantitative research.  The goal of the research is to provide students and administrators with evidence-based inferences so that they make informed decisions about remedial program</w:t>
      </w:r>
      <w:r w:rsidR="00657A94">
        <w:rPr>
          <w:rFonts w:eastAsiaTheme="minorEastAsia"/>
          <w:color w:val="000000" w:themeColor="text1"/>
          <w:kern w:val="24"/>
        </w:rPr>
        <w:t xml:space="preserve"> initiatives</w:t>
      </w:r>
      <w:r w:rsidRPr="003C27C0">
        <w:rPr>
          <w:rFonts w:eastAsiaTheme="minorEastAsia"/>
          <w:color w:val="000000" w:themeColor="text1"/>
          <w:kern w:val="24"/>
        </w:rPr>
        <w:t>.</w:t>
      </w:r>
    </w:p>
    <w:p w14:paraId="24A61D88" w14:textId="13C7A3E2" w:rsidR="003C27C0" w:rsidRDefault="003C27C0">
      <w:pPr>
        <w:rPr>
          <w:color w:val="000000" w:themeColor="text1"/>
        </w:rPr>
      </w:pPr>
      <w:r>
        <w:rPr>
          <w:color w:val="000000" w:themeColor="text1"/>
        </w:rPr>
        <w:br w:type="page"/>
      </w:r>
    </w:p>
    <w:p w14:paraId="4AF842B3" w14:textId="77777777" w:rsidR="00B83B4E" w:rsidRPr="003C27C0" w:rsidRDefault="00B83B4E" w:rsidP="003C27C0">
      <w:pPr>
        <w:pStyle w:val="ListParagraph"/>
        <w:spacing w:after="0" w:line="480" w:lineRule="auto"/>
        <w:ind w:left="0"/>
        <w:jc w:val="center"/>
        <w:rPr>
          <w:rFonts w:ascii="Times New Roman" w:hAnsi="Times New Roman"/>
          <w:sz w:val="24"/>
          <w:szCs w:val="24"/>
        </w:rPr>
      </w:pPr>
      <w:r w:rsidRPr="003C27C0">
        <w:rPr>
          <w:rFonts w:ascii="Times New Roman" w:hAnsi="Times New Roman"/>
          <w:sz w:val="24"/>
          <w:szCs w:val="24"/>
        </w:rPr>
        <w:lastRenderedPageBreak/>
        <w:t>References</w:t>
      </w:r>
    </w:p>
    <w:p w14:paraId="68B2E0C5" w14:textId="77777777" w:rsidR="003C27C0" w:rsidRPr="003C27C0" w:rsidRDefault="003C27C0" w:rsidP="003C27C0">
      <w:pPr>
        <w:spacing w:line="480" w:lineRule="auto"/>
        <w:ind w:left="720" w:hanging="720"/>
        <w:contextualSpacing/>
        <w:rPr>
          <w:color w:val="DD8047"/>
        </w:rPr>
      </w:pPr>
      <w:r w:rsidRPr="003C27C0">
        <w:rPr>
          <w:rFonts w:eastAsiaTheme="minorEastAsia"/>
          <w:color w:val="000000" w:themeColor="text1"/>
          <w:kern w:val="24"/>
        </w:rPr>
        <w:t xml:space="preserve">Baily, T. &amp; </w:t>
      </w:r>
      <w:proofErr w:type="spellStart"/>
      <w:r w:rsidRPr="003C27C0">
        <w:rPr>
          <w:rFonts w:eastAsiaTheme="minorEastAsia"/>
          <w:color w:val="000000" w:themeColor="text1"/>
          <w:kern w:val="24"/>
        </w:rPr>
        <w:t>Jaggers</w:t>
      </w:r>
      <w:proofErr w:type="spellEnd"/>
      <w:r w:rsidRPr="003C27C0">
        <w:rPr>
          <w:rFonts w:eastAsiaTheme="minorEastAsia"/>
          <w:color w:val="000000" w:themeColor="text1"/>
          <w:kern w:val="24"/>
        </w:rPr>
        <w:t xml:space="preserve">, S. (2016). When college students start behind.  Retrieved from https://tcf.org/content/report/college-students-start-behind/?agreed=1 </w:t>
      </w:r>
    </w:p>
    <w:p w14:paraId="3165C69A" w14:textId="77777777" w:rsidR="003C27C0" w:rsidRPr="003C27C0" w:rsidRDefault="003C27C0" w:rsidP="003C27C0">
      <w:pPr>
        <w:spacing w:line="480" w:lineRule="auto"/>
        <w:ind w:left="720" w:hanging="720"/>
        <w:contextualSpacing/>
        <w:rPr>
          <w:color w:val="DD8047"/>
        </w:rPr>
      </w:pPr>
      <w:proofErr w:type="spellStart"/>
      <w:r w:rsidRPr="003C27C0">
        <w:rPr>
          <w:rFonts w:eastAsiaTheme="minorEastAsia"/>
          <w:color w:val="000000" w:themeColor="text1"/>
          <w:kern w:val="24"/>
        </w:rPr>
        <w:t>Bettinger</w:t>
      </w:r>
      <w:proofErr w:type="spellEnd"/>
      <w:r w:rsidRPr="003C27C0">
        <w:rPr>
          <w:rFonts w:eastAsiaTheme="minorEastAsia"/>
          <w:color w:val="000000" w:themeColor="text1"/>
          <w:kern w:val="24"/>
        </w:rPr>
        <w:t xml:space="preserve">, E. &amp; Loeb, S. (2017). Promises and pitfalls of online education.  Evidence Speaks Reports, 2(15). Retrieved from https://www.brookings.edu/wp-content/uploads/2017/06/ccf_20170609_loeb_evidence_speaks1.pdf </w:t>
      </w:r>
    </w:p>
    <w:p w14:paraId="2880BE0A" w14:textId="77777777" w:rsidR="003C27C0" w:rsidRPr="003C27C0" w:rsidRDefault="003C27C0" w:rsidP="003C27C0">
      <w:pPr>
        <w:spacing w:line="480" w:lineRule="auto"/>
        <w:ind w:left="720" w:hanging="720"/>
        <w:contextualSpacing/>
        <w:rPr>
          <w:color w:val="DD8047"/>
        </w:rPr>
      </w:pPr>
      <w:r w:rsidRPr="003C27C0">
        <w:rPr>
          <w:rFonts w:eastAsiaTheme="minorEastAsia"/>
          <w:color w:val="000000" w:themeColor="text1"/>
          <w:kern w:val="24"/>
        </w:rPr>
        <w:t xml:space="preserve">Institute of Education Sciences. (2017). </w:t>
      </w:r>
      <w:r w:rsidRPr="003C27C0">
        <w:rPr>
          <w:rFonts w:eastAsiaTheme="minorEastAsia"/>
          <w:i/>
          <w:iCs/>
          <w:color w:val="000000" w:themeColor="text1"/>
          <w:kern w:val="24"/>
        </w:rPr>
        <w:t>The condition of education 2017</w:t>
      </w:r>
      <w:r w:rsidRPr="003C27C0">
        <w:rPr>
          <w:rFonts w:eastAsiaTheme="minorEastAsia"/>
          <w:color w:val="000000" w:themeColor="text1"/>
          <w:kern w:val="24"/>
        </w:rPr>
        <w:t xml:space="preserve"> (Publication No. NCES2017144). Retrieved from the U.S. Department of Education, National Center for Education Statistics website: https://nces.ed.gov/pubs2017/2017144.pdf</w:t>
      </w:r>
    </w:p>
    <w:p w14:paraId="6E075308" w14:textId="77777777" w:rsidR="003C27C0" w:rsidRPr="003C27C0" w:rsidRDefault="003C27C0" w:rsidP="003C27C0">
      <w:pPr>
        <w:spacing w:line="480" w:lineRule="auto"/>
        <w:ind w:left="720" w:hanging="720"/>
        <w:contextualSpacing/>
        <w:rPr>
          <w:color w:val="DD8047"/>
        </w:rPr>
      </w:pPr>
      <w:r w:rsidRPr="003C27C0">
        <w:rPr>
          <w:rFonts w:eastAsiaTheme="minorEastAsia"/>
          <w:color w:val="000000" w:themeColor="text1"/>
          <w:kern w:val="24"/>
        </w:rPr>
        <w:t xml:space="preserve">U.S. Department of Education. (2010). Evaluation of evidence-based practices in online learning.  Retrieved from https://www2.ed.gov/rschstat/eval/tech/evidence-based-practices/finalreport.pdf </w:t>
      </w:r>
    </w:p>
    <w:p w14:paraId="2A094C19" w14:textId="77777777" w:rsidR="003C27C0" w:rsidRPr="003C27C0" w:rsidRDefault="003C27C0" w:rsidP="003C27C0">
      <w:pPr>
        <w:spacing w:line="480" w:lineRule="auto"/>
        <w:ind w:left="720" w:hanging="720"/>
        <w:contextualSpacing/>
        <w:rPr>
          <w:color w:val="DD8047"/>
        </w:rPr>
      </w:pPr>
      <w:r w:rsidRPr="003C27C0">
        <w:rPr>
          <w:rFonts w:eastAsiaTheme="minorEastAsia"/>
          <w:color w:val="000000" w:themeColor="text1"/>
          <w:kern w:val="24"/>
        </w:rPr>
        <w:t>U.S. Department of Education, National Center for Education Statistics. (2015). </w:t>
      </w:r>
      <w:r w:rsidRPr="003C27C0">
        <w:rPr>
          <w:rFonts w:eastAsiaTheme="minorEastAsia"/>
          <w:i/>
          <w:iCs/>
          <w:color w:val="000000" w:themeColor="text1"/>
          <w:kern w:val="24"/>
        </w:rPr>
        <w:t>The Condition of Education 2015 </w:t>
      </w:r>
      <w:r w:rsidRPr="003C27C0">
        <w:rPr>
          <w:rFonts w:eastAsiaTheme="minorEastAsia"/>
          <w:color w:val="000000" w:themeColor="text1"/>
          <w:kern w:val="24"/>
        </w:rPr>
        <w:t>(NCES 2015-144). Retrieved from http://nces.ed.gov/programs/coe/indicator_cbc.asp</w:t>
      </w:r>
    </w:p>
    <w:p w14:paraId="4AF842B4" w14:textId="2E9E9812" w:rsidR="00B83B4E" w:rsidRPr="002149CB" w:rsidRDefault="00B83B4E" w:rsidP="003C27C0">
      <w:pPr>
        <w:pStyle w:val="ListParagraph"/>
        <w:spacing w:after="0" w:line="480" w:lineRule="auto"/>
        <w:ind w:hanging="720"/>
        <w:rPr>
          <w:rFonts w:ascii="Times New Roman" w:hAnsi="Times New Roman"/>
          <w:sz w:val="24"/>
          <w:szCs w:val="24"/>
        </w:rPr>
      </w:pPr>
    </w:p>
    <w:sectPr w:rsidR="00B83B4E" w:rsidRPr="002149CB" w:rsidSect="009C51D8">
      <w:headerReference w:type="default" r:id="rId10"/>
      <w:pgSz w:w="12240" w:h="15840" w:code="1"/>
      <w:pgMar w:top="1440" w:right="1440" w:bottom="1440" w:left="1440" w:header="720" w:footer="720" w:gutter="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4F16" w14:textId="77777777" w:rsidR="00AC55B3" w:rsidRDefault="00AC55B3">
      <w:r>
        <w:separator/>
      </w:r>
    </w:p>
  </w:endnote>
  <w:endnote w:type="continuationSeparator" w:id="0">
    <w:p w14:paraId="1C5D9B89" w14:textId="77777777" w:rsidR="00AC55B3" w:rsidRDefault="00AC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10DD" w14:textId="77777777" w:rsidR="00AC55B3" w:rsidRDefault="00AC55B3">
      <w:r>
        <w:separator/>
      </w:r>
    </w:p>
  </w:footnote>
  <w:footnote w:type="continuationSeparator" w:id="0">
    <w:p w14:paraId="087E1167" w14:textId="77777777" w:rsidR="00AC55B3" w:rsidRDefault="00AC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42B9" w14:textId="77777777" w:rsidR="00C77627" w:rsidRPr="00FE5972" w:rsidRDefault="00E4793A" w:rsidP="00E4793A">
    <w:pPr>
      <w:pStyle w:val="Header"/>
      <w:tabs>
        <w:tab w:val="clear" w:pos="8640"/>
        <w:tab w:val="right" w:pos="9360"/>
      </w:tabs>
      <w:jc w:val="left"/>
    </w:pPr>
    <w:r>
      <w:t xml:space="preserve">Running head: </w:t>
    </w:r>
    <w:r w:rsidR="00922508">
      <w:t>CRITICAL THINKING</w:t>
    </w:r>
    <w:r w:rsidR="00922508">
      <w:tab/>
    </w:r>
    <w:r>
      <w:tab/>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42BA" w14:textId="1BBF41B6" w:rsidR="009C51D8" w:rsidRDefault="009C51D8" w:rsidP="009C51D8">
    <w:pPr>
      <w:pStyle w:val="Header"/>
      <w:jc w:val="left"/>
    </w:pPr>
    <w:r>
      <w:t xml:space="preserve">Running Head: </w:t>
    </w:r>
    <w:r w:rsidR="00F275F4">
      <w:t>RESEARCH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42BB" w14:textId="302FE5CC" w:rsidR="00583355" w:rsidRPr="00FE5972" w:rsidRDefault="00F275F4" w:rsidP="00E4793A">
    <w:pPr>
      <w:pStyle w:val="Header"/>
      <w:tabs>
        <w:tab w:val="clear" w:pos="8640"/>
        <w:tab w:val="right" w:pos="9180"/>
      </w:tabs>
      <w:jc w:val="left"/>
    </w:pPr>
    <w:r>
      <w:t>RESEARCH PROPOSAL</w:t>
    </w:r>
    <w:r w:rsidR="00922508">
      <w:tab/>
    </w:r>
    <w:r w:rsidR="00E4793A">
      <w:tab/>
    </w:r>
    <w:r w:rsidR="008170EF">
      <w:fldChar w:fldCharType="begin"/>
    </w:r>
    <w:r w:rsidR="008170EF">
      <w:instrText xml:space="preserve"> PAGE   \* MERGEFORMAT </w:instrText>
    </w:r>
    <w:r w:rsidR="008170EF">
      <w:fldChar w:fldCharType="separate"/>
    </w:r>
    <w:r w:rsidR="0078000E">
      <w:rPr>
        <w:noProof/>
      </w:rPr>
      <w:t>1</w:t>
    </w:r>
    <w:r w:rsidR="008170E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0B1"/>
    <w:multiLevelType w:val="multilevel"/>
    <w:tmpl w:val="0D7A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6B2F"/>
    <w:multiLevelType w:val="multilevel"/>
    <w:tmpl w:val="6F8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41B86"/>
    <w:multiLevelType w:val="hybridMultilevel"/>
    <w:tmpl w:val="524E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60D2A"/>
    <w:multiLevelType w:val="hybridMultilevel"/>
    <w:tmpl w:val="771A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85A56"/>
    <w:multiLevelType w:val="multilevel"/>
    <w:tmpl w:val="B2A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15F9A"/>
    <w:multiLevelType w:val="hybridMultilevel"/>
    <w:tmpl w:val="BCEA0732"/>
    <w:lvl w:ilvl="0" w:tplc="76B47AE8">
      <w:start w:val="1"/>
      <w:numFmt w:val="bullet"/>
      <w:lvlText w:val=""/>
      <w:lvlJc w:val="left"/>
      <w:pPr>
        <w:tabs>
          <w:tab w:val="num" w:pos="720"/>
        </w:tabs>
        <w:ind w:left="720" w:hanging="360"/>
      </w:pPr>
      <w:rPr>
        <w:rFonts w:ascii="Wingdings" w:hAnsi="Wingdings" w:hint="default"/>
      </w:rPr>
    </w:lvl>
    <w:lvl w:ilvl="1" w:tplc="AB684D86" w:tentative="1">
      <w:start w:val="1"/>
      <w:numFmt w:val="bullet"/>
      <w:lvlText w:val=""/>
      <w:lvlJc w:val="left"/>
      <w:pPr>
        <w:tabs>
          <w:tab w:val="num" w:pos="1440"/>
        </w:tabs>
        <w:ind w:left="1440" w:hanging="360"/>
      </w:pPr>
      <w:rPr>
        <w:rFonts w:ascii="Wingdings" w:hAnsi="Wingdings" w:hint="default"/>
      </w:rPr>
    </w:lvl>
    <w:lvl w:ilvl="2" w:tplc="72CA466A" w:tentative="1">
      <w:start w:val="1"/>
      <w:numFmt w:val="bullet"/>
      <w:lvlText w:val=""/>
      <w:lvlJc w:val="left"/>
      <w:pPr>
        <w:tabs>
          <w:tab w:val="num" w:pos="2160"/>
        </w:tabs>
        <w:ind w:left="2160" w:hanging="360"/>
      </w:pPr>
      <w:rPr>
        <w:rFonts w:ascii="Wingdings" w:hAnsi="Wingdings" w:hint="default"/>
      </w:rPr>
    </w:lvl>
    <w:lvl w:ilvl="3" w:tplc="A2E00F08" w:tentative="1">
      <w:start w:val="1"/>
      <w:numFmt w:val="bullet"/>
      <w:lvlText w:val=""/>
      <w:lvlJc w:val="left"/>
      <w:pPr>
        <w:tabs>
          <w:tab w:val="num" w:pos="2880"/>
        </w:tabs>
        <w:ind w:left="2880" w:hanging="360"/>
      </w:pPr>
      <w:rPr>
        <w:rFonts w:ascii="Wingdings" w:hAnsi="Wingdings" w:hint="default"/>
      </w:rPr>
    </w:lvl>
    <w:lvl w:ilvl="4" w:tplc="022827F6" w:tentative="1">
      <w:start w:val="1"/>
      <w:numFmt w:val="bullet"/>
      <w:lvlText w:val=""/>
      <w:lvlJc w:val="left"/>
      <w:pPr>
        <w:tabs>
          <w:tab w:val="num" w:pos="3600"/>
        </w:tabs>
        <w:ind w:left="3600" w:hanging="360"/>
      </w:pPr>
      <w:rPr>
        <w:rFonts w:ascii="Wingdings" w:hAnsi="Wingdings" w:hint="default"/>
      </w:rPr>
    </w:lvl>
    <w:lvl w:ilvl="5" w:tplc="8E1AF232" w:tentative="1">
      <w:start w:val="1"/>
      <w:numFmt w:val="bullet"/>
      <w:lvlText w:val=""/>
      <w:lvlJc w:val="left"/>
      <w:pPr>
        <w:tabs>
          <w:tab w:val="num" w:pos="4320"/>
        </w:tabs>
        <w:ind w:left="4320" w:hanging="360"/>
      </w:pPr>
      <w:rPr>
        <w:rFonts w:ascii="Wingdings" w:hAnsi="Wingdings" w:hint="default"/>
      </w:rPr>
    </w:lvl>
    <w:lvl w:ilvl="6" w:tplc="1B8E7C4A" w:tentative="1">
      <w:start w:val="1"/>
      <w:numFmt w:val="bullet"/>
      <w:lvlText w:val=""/>
      <w:lvlJc w:val="left"/>
      <w:pPr>
        <w:tabs>
          <w:tab w:val="num" w:pos="5040"/>
        </w:tabs>
        <w:ind w:left="5040" w:hanging="360"/>
      </w:pPr>
      <w:rPr>
        <w:rFonts w:ascii="Wingdings" w:hAnsi="Wingdings" w:hint="default"/>
      </w:rPr>
    </w:lvl>
    <w:lvl w:ilvl="7" w:tplc="8952945E" w:tentative="1">
      <w:start w:val="1"/>
      <w:numFmt w:val="bullet"/>
      <w:lvlText w:val=""/>
      <w:lvlJc w:val="left"/>
      <w:pPr>
        <w:tabs>
          <w:tab w:val="num" w:pos="5760"/>
        </w:tabs>
        <w:ind w:left="5760" w:hanging="360"/>
      </w:pPr>
      <w:rPr>
        <w:rFonts w:ascii="Wingdings" w:hAnsi="Wingdings" w:hint="default"/>
      </w:rPr>
    </w:lvl>
    <w:lvl w:ilvl="8" w:tplc="4740C47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CA"/>
    <w:rsid w:val="000002E1"/>
    <w:rsid w:val="00001269"/>
    <w:rsid w:val="00002EB9"/>
    <w:rsid w:val="00003CCF"/>
    <w:rsid w:val="00004977"/>
    <w:rsid w:val="00006F91"/>
    <w:rsid w:val="00010A55"/>
    <w:rsid w:val="0001163B"/>
    <w:rsid w:val="000116F5"/>
    <w:rsid w:val="00012D1A"/>
    <w:rsid w:val="00014560"/>
    <w:rsid w:val="0001516E"/>
    <w:rsid w:val="00016D48"/>
    <w:rsid w:val="00016EF9"/>
    <w:rsid w:val="0002024E"/>
    <w:rsid w:val="00021681"/>
    <w:rsid w:val="000222B8"/>
    <w:rsid w:val="0002345E"/>
    <w:rsid w:val="00023AD7"/>
    <w:rsid w:val="00024911"/>
    <w:rsid w:val="00025074"/>
    <w:rsid w:val="0002645A"/>
    <w:rsid w:val="00026481"/>
    <w:rsid w:val="000265A8"/>
    <w:rsid w:val="00026C30"/>
    <w:rsid w:val="0002767D"/>
    <w:rsid w:val="000327EB"/>
    <w:rsid w:val="000331EA"/>
    <w:rsid w:val="0003571B"/>
    <w:rsid w:val="000411C3"/>
    <w:rsid w:val="00043F08"/>
    <w:rsid w:val="0004592C"/>
    <w:rsid w:val="00047BA4"/>
    <w:rsid w:val="00052138"/>
    <w:rsid w:val="00052561"/>
    <w:rsid w:val="00055EE8"/>
    <w:rsid w:val="00056C46"/>
    <w:rsid w:val="000570D9"/>
    <w:rsid w:val="000610F6"/>
    <w:rsid w:val="00061408"/>
    <w:rsid w:val="00063CA7"/>
    <w:rsid w:val="00064B71"/>
    <w:rsid w:val="000665A5"/>
    <w:rsid w:val="00074401"/>
    <w:rsid w:val="00076059"/>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1CDE"/>
    <w:rsid w:val="000D229B"/>
    <w:rsid w:val="000D3892"/>
    <w:rsid w:val="000D4CA9"/>
    <w:rsid w:val="000D5095"/>
    <w:rsid w:val="000D677B"/>
    <w:rsid w:val="000D6E97"/>
    <w:rsid w:val="000E097D"/>
    <w:rsid w:val="000E1D3D"/>
    <w:rsid w:val="000E22FA"/>
    <w:rsid w:val="000E2B1B"/>
    <w:rsid w:val="000E3EBE"/>
    <w:rsid w:val="000E3FF9"/>
    <w:rsid w:val="000E4E49"/>
    <w:rsid w:val="000E6BAC"/>
    <w:rsid w:val="000E6BED"/>
    <w:rsid w:val="000F046A"/>
    <w:rsid w:val="000F0DC7"/>
    <w:rsid w:val="000F0F2D"/>
    <w:rsid w:val="000F1263"/>
    <w:rsid w:val="000F12CA"/>
    <w:rsid w:val="000F2A00"/>
    <w:rsid w:val="000F408A"/>
    <w:rsid w:val="000F6486"/>
    <w:rsid w:val="000F7D6C"/>
    <w:rsid w:val="00100F82"/>
    <w:rsid w:val="00101E02"/>
    <w:rsid w:val="00103739"/>
    <w:rsid w:val="00103B78"/>
    <w:rsid w:val="0010628F"/>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08B6"/>
    <w:rsid w:val="001C17BB"/>
    <w:rsid w:val="001C3E69"/>
    <w:rsid w:val="001C480A"/>
    <w:rsid w:val="001C5819"/>
    <w:rsid w:val="001C73EB"/>
    <w:rsid w:val="001C79FD"/>
    <w:rsid w:val="001D0418"/>
    <w:rsid w:val="001D0EEC"/>
    <w:rsid w:val="001D12D1"/>
    <w:rsid w:val="001E0118"/>
    <w:rsid w:val="001E19B9"/>
    <w:rsid w:val="001E33AF"/>
    <w:rsid w:val="001E33CF"/>
    <w:rsid w:val="001E39AA"/>
    <w:rsid w:val="001E4206"/>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5618"/>
    <w:rsid w:val="00205B20"/>
    <w:rsid w:val="00205B67"/>
    <w:rsid w:val="00207A31"/>
    <w:rsid w:val="00210676"/>
    <w:rsid w:val="0021316A"/>
    <w:rsid w:val="0021478D"/>
    <w:rsid w:val="00215C97"/>
    <w:rsid w:val="0021714B"/>
    <w:rsid w:val="00217E95"/>
    <w:rsid w:val="002207DE"/>
    <w:rsid w:val="00220C1C"/>
    <w:rsid w:val="0022480F"/>
    <w:rsid w:val="002260DE"/>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5671"/>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20A"/>
    <w:rsid w:val="002B37EF"/>
    <w:rsid w:val="002B3949"/>
    <w:rsid w:val="002B3D38"/>
    <w:rsid w:val="002B4D32"/>
    <w:rsid w:val="002B5A2C"/>
    <w:rsid w:val="002C00D0"/>
    <w:rsid w:val="002C1124"/>
    <w:rsid w:val="002C35F3"/>
    <w:rsid w:val="002C5F03"/>
    <w:rsid w:val="002C6D60"/>
    <w:rsid w:val="002D3056"/>
    <w:rsid w:val="002D5280"/>
    <w:rsid w:val="002D552D"/>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57D9"/>
    <w:rsid w:val="00326981"/>
    <w:rsid w:val="00326C10"/>
    <w:rsid w:val="00332E10"/>
    <w:rsid w:val="003340A6"/>
    <w:rsid w:val="00334CA1"/>
    <w:rsid w:val="00335D5C"/>
    <w:rsid w:val="0034275B"/>
    <w:rsid w:val="00343171"/>
    <w:rsid w:val="00344479"/>
    <w:rsid w:val="00346774"/>
    <w:rsid w:val="00346B0B"/>
    <w:rsid w:val="00346FFB"/>
    <w:rsid w:val="003502FF"/>
    <w:rsid w:val="003504C3"/>
    <w:rsid w:val="00352654"/>
    <w:rsid w:val="003542B0"/>
    <w:rsid w:val="0035558F"/>
    <w:rsid w:val="00356EB2"/>
    <w:rsid w:val="00356FF4"/>
    <w:rsid w:val="003628A5"/>
    <w:rsid w:val="00362DFC"/>
    <w:rsid w:val="00366F9E"/>
    <w:rsid w:val="00367B3F"/>
    <w:rsid w:val="003702A9"/>
    <w:rsid w:val="00371A20"/>
    <w:rsid w:val="0037229A"/>
    <w:rsid w:val="00372CC2"/>
    <w:rsid w:val="003734CA"/>
    <w:rsid w:val="003750A7"/>
    <w:rsid w:val="0038008F"/>
    <w:rsid w:val="0038042A"/>
    <w:rsid w:val="003806B8"/>
    <w:rsid w:val="00380EB2"/>
    <w:rsid w:val="003838AD"/>
    <w:rsid w:val="003917AD"/>
    <w:rsid w:val="00391D6D"/>
    <w:rsid w:val="003924A1"/>
    <w:rsid w:val="0039287A"/>
    <w:rsid w:val="00393FF1"/>
    <w:rsid w:val="0039727B"/>
    <w:rsid w:val="003A0E64"/>
    <w:rsid w:val="003A7ACD"/>
    <w:rsid w:val="003A7D29"/>
    <w:rsid w:val="003B055E"/>
    <w:rsid w:val="003B5070"/>
    <w:rsid w:val="003B5392"/>
    <w:rsid w:val="003B5541"/>
    <w:rsid w:val="003B5842"/>
    <w:rsid w:val="003B72E2"/>
    <w:rsid w:val="003B740E"/>
    <w:rsid w:val="003C1D1D"/>
    <w:rsid w:val="003C27C0"/>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BF1"/>
    <w:rsid w:val="0048414B"/>
    <w:rsid w:val="00484BE4"/>
    <w:rsid w:val="004854AF"/>
    <w:rsid w:val="004860DD"/>
    <w:rsid w:val="00486FAC"/>
    <w:rsid w:val="00487FCF"/>
    <w:rsid w:val="00491993"/>
    <w:rsid w:val="004929A8"/>
    <w:rsid w:val="00494112"/>
    <w:rsid w:val="00495ED5"/>
    <w:rsid w:val="004A097B"/>
    <w:rsid w:val="004A1AF5"/>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633"/>
    <w:rsid w:val="00504F0F"/>
    <w:rsid w:val="00506E31"/>
    <w:rsid w:val="00506EDC"/>
    <w:rsid w:val="0050751E"/>
    <w:rsid w:val="00507C88"/>
    <w:rsid w:val="005127F1"/>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08F"/>
    <w:rsid w:val="00575252"/>
    <w:rsid w:val="00575806"/>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46EC"/>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0E3"/>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41603"/>
    <w:rsid w:val="00642752"/>
    <w:rsid w:val="00642908"/>
    <w:rsid w:val="006457CA"/>
    <w:rsid w:val="006475DD"/>
    <w:rsid w:val="00650B3E"/>
    <w:rsid w:val="00653057"/>
    <w:rsid w:val="00653595"/>
    <w:rsid w:val="0065370D"/>
    <w:rsid w:val="00653CED"/>
    <w:rsid w:val="00655F3A"/>
    <w:rsid w:val="006562AE"/>
    <w:rsid w:val="00657A94"/>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64BC"/>
    <w:rsid w:val="006975AE"/>
    <w:rsid w:val="00697727"/>
    <w:rsid w:val="00697BAC"/>
    <w:rsid w:val="006A142E"/>
    <w:rsid w:val="006A7153"/>
    <w:rsid w:val="006A71E3"/>
    <w:rsid w:val="006B0803"/>
    <w:rsid w:val="006B1883"/>
    <w:rsid w:val="006B3206"/>
    <w:rsid w:val="006B34CA"/>
    <w:rsid w:val="006B7EF7"/>
    <w:rsid w:val="006C0016"/>
    <w:rsid w:val="006C0422"/>
    <w:rsid w:val="006C1351"/>
    <w:rsid w:val="006C28E5"/>
    <w:rsid w:val="006C4292"/>
    <w:rsid w:val="006C4635"/>
    <w:rsid w:val="006C5924"/>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A1E"/>
    <w:rsid w:val="006F2D86"/>
    <w:rsid w:val="006F2F5C"/>
    <w:rsid w:val="006F3316"/>
    <w:rsid w:val="006F3833"/>
    <w:rsid w:val="006F5977"/>
    <w:rsid w:val="006F6E8C"/>
    <w:rsid w:val="006F796E"/>
    <w:rsid w:val="00701437"/>
    <w:rsid w:val="0070250E"/>
    <w:rsid w:val="00706D88"/>
    <w:rsid w:val="00707E1B"/>
    <w:rsid w:val="00710C75"/>
    <w:rsid w:val="0071163D"/>
    <w:rsid w:val="00711BFC"/>
    <w:rsid w:val="00711C72"/>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4628A"/>
    <w:rsid w:val="00750EBB"/>
    <w:rsid w:val="00750F1B"/>
    <w:rsid w:val="00751254"/>
    <w:rsid w:val="00751B7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941"/>
    <w:rsid w:val="00766EE6"/>
    <w:rsid w:val="0076798C"/>
    <w:rsid w:val="007705C5"/>
    <w:rsid w:val="00772B01"/>
    <w:rsid w:val="007736A9"/>
    <w:rsid w:val="00773935"/>
    <w:rsid w:val="00774559"/>
    <w:rsid w:val="0077626D"/>
    <w:rsid w:val="0077710D"/>
    <w:rsid w:val="0078000E"/>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D29AE"/>
    <w:rsid w:val="007D6293"/>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170EF"/>
    <w:rsid w:val="00822414"/>
    <w:rsid w:val="00825D0A"/>
    <w:rsid w:val="00825DFF"/>
    <w:rsid w:val="00826615"/>
    <w:rsid w:val="00830763"/>
    <w:rsid w:val="0083136F"/>
    <w:rsid w:val="008318EF"/>
    <w:rsid w:val="0083609A"/>
    <w:rsid w:val="0083702B"/>
    <w:rsid w:val="00837241"/>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109D"/>
    <w:rsid w:val="008720DB"/>
    <w:rsid w:val="00872AC5"/>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06437"/>
    <w:rsid w:val="00911A2D"/>
    <w:rsid w:val="00911D2D"/>
    <w:rsid w:val="00912026"/>
    <w:rsid w:val="0091211F"/>
    <w:rsid w:val="00913A66"/>
    <w:rsid w:val="00914687"/>
    <w:rsid w:val="0091567F"/>
    <w:rsid w:val="00915A1B"/>
    <w:rsid w:val="00916761"/>
    <w:rsid w:val="00917420"/>
    <w:rsid w:val="00917956"/>
    <w:rsid w:val="00920767"/>
    <w:rsid w:val="00922508"/>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492F"/>
    <w:rsid w:val="00965951"/>
    <w:rsid w:val="009679E5"/>
    <w:rsid w:val="00970167"/>
    <w:rsid w:val="009706B9"/>
    <w:rsid w:val="009711B3"/>
    <w:rsid w:val="00971BB7"/>
    <w:rsid w:val="009726F9"/>
    <w:rsid w:val="0097786B"/>
    <w:rsid w:val="00980213"/>
    <w:rsid w:val="00980B34"/>
    <w:rsid w:val="009820F0"/>
    <w:rsid w:val="00982B91"/>
    <w:rsid w:val="00982D54"/>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04D"/>
    <w:rsid w:val="009C3828"/>
    <w:rsid w:val="009C3C07"/>
    <w:rsid w:val="009C4C9E"/>
    <w:rsid w:val="009C51D8"/>
    <w:rsid w:val="009C5D2F"/>
    <w:rsid w:val="009C7B8F"/>
    <w:rsid w:val="009D2590"/>
    <w:rsid w:val="009D2790"/>
    <w:rsid w:val="009D28E1"/>
    <w:rsid w:val="009D29E7"/>
    <w:rsid w:val="009D30E3"/>
    <w:rsid w:val="009D5DCB"/>
    <w:rsid w:val="009E0B9E"/>
    <w:rsid w:val="009E0EFA"/>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43B0"/>
    <w:rsid w:val="00A74642"/>
    <w:rsid w:val="00A7473D"/>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55B3"/>
    <w:rsid w:val="00AC6D6C"/>
    <w:rsid w:val="00AC77F2"/>
    <w:rsid w:val="00AD00C1"/>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83B"/>
    <w:rsid w:val="00B10B0C"/>
    <w:rsid w:val="00B117FC"/>
    <w:rsid w:val="00B126DA"/>
    <w:rsid w:val="00B13720"/>
    <w:rsid w:val="00B13B64"/>
    <w:rsid w:val="00B15088"/>
    <w:rsid w:val="00B15CE0"/>
    <w:rsid w:val="00B16134"/>
    <w:rsid w:val="00B16885"/>
    <w:rsid w:val="00B20AAE"/>
    <w:rsid w:val="00B211A7"/>
    <w:rsid w:val="00B21CC8"/>
    <w:rsid w:val="00B21DBF"/>
    <w:rsid w:val="00B23148"/>
    <w:rsid w:val="00B236A1"/>
    <w:rsid w:val="00B242A0"/>
    <w:rsid w:val="00B24467"/>
    <w:rsid w:val="00B25E86"/>
    <w:rsid w:val="00B27DCF"/>
    <w:rsid w:val="00B27E6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56B93"/>
    <w:rsid w:val="00B6305E"/>
    <w:rsid w:val="00B63E5C"/>
    <w:rsid w:val="00B707EC"/>
    <w:rsid w:val="00B744E4"/>
    <w:rsid w:val="00B76CE0"/>
    <w:rsid w:val="00B77CC8"/>
    <w:rsid w:val="00B8059F"/>
    <w:rsid w:val="00B8166B"/>
    <w:rsid w:val="00B83003"/>
    <w:rsid w:val="00B83748"/>
    <w:rsid w:val="00B83B4E"/>
    <w:rsid w:val="00B872E5"/>
    <w:rsid w:val="00B9076C"/>
    <w:rsid w:val="00B90B15"/>
    <w:rsid w:val="00B9326B"/>
    <w:rsid w:val="00B946C2"/>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D7759"/>
    <w:rsid w:val="00BE1581"/>
    <w:rsid w:val="00BE1B43"/>
    <w:rsid w:val="00BE1D6E"/>
    <w:rsid w:val="00BE300D"/>
    <w:rsid w:val="00BE3DF2"/>
    <w:rsid w:val="00BE422F"/>
    <w:rsid w:val="00BF03C3"/>
    <w:rsid w:val="00BF1AAA"/>
    <w:rsid w:val="00BF2D31"/>
    <w:rsid w:val="00BF4A5F"/>
    <w:rsid w:val="00C00134"/>
    <w:rsid w:val="00C02B0D"/>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41ED"/>
    <w:rsid w:val="00C7558C"/>
    <w:rsid w:val="00C758A6"/>
    <w:rsid w:val="00C766CC"/>
    <w:rsid w:val="00C76E16"/>
    <w:rsid w:val="00C77627"/>
    <w:rsid w:val="00C82188"/>
    <w:rsid w:val="00C82342"/>
    <w:rsid w:val="00C828BE"/>
    <w:rsid w:val="00C83152"/>
    <w:rsid w:val="00C866AC"/>
    <w:rsid w:val="00C866DC"/>
    <w:rsid w:val="00C90CF9"/>
    <w:rsid w:val="00C921B1"/>
    <w:rsid w:val="00C92759"/>
    <w:rsid w:val="00C9441C"/>
    <w:rsid w:val="00C9490E"/>
    <w:rsid w:val="00C96066"/>
    <w:rsid w:val="00C9684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79D"/>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41DA"/>
    <w:rsid w:val="00D61683"/>
    <w:rsid w:val="00D61D1B"/>
    <w:rsid w:val="00D6543D"/>
    <w:rsid w:val="00D655E7"/>
    <w:rsid w:val="00D65955"/>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A5CCD"/>
    <w:rsid w:val="00DB1E93"/>
    <w:rsid w:val="00DB1F76"/>
    <w:rsid w:val="00DB1FEB"/>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00B2"/>
    <w:rsid w:val="00EA3D05"/>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48DD"/>
    <w:rsid w:val="00EF7EDF"/>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5457"/>
    <w:rsid w:val="00F2686D"/>
    <w:rsid w:val="00F271D2"/>
    <w:rsid w:val="00F275AE"/>
    <w:rsid w:val="00F275F4"/>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BBA"/>
    <w:rsid w:val="00F50EF5"/>
    <w:rsid w:val="00F51842"/>
    <w:rsid w:val="00F54F6A"/>
    <w:rsid w:val="00F56C38"/>
    <w:rsid w:val="00F62BD1"/>
    <w:rsid w:val="00F657FB"/>
    <w:rsid w:val="00F67473"/>
    <w:rsid w:val="00F677C0"/>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64F7"/>
    <w:rsid w:val="00FC71AE"/>
    <w:rsid w:val="00FD048E"/>
    <w:rsid w:val="00FD0AE7"/>
    <w:rsid w:val="00FD19EE"/>
    <w:rsid w:val="00FD2537"/>
    <w:rsid w:val="00FD656B"/>
    <w:rsid w:val="00FE37A0"/>
    <w:rsid w:val="00FE4933"/>
    <w:rsid w:val="00FE5972"/>
    <w:rsid w:val="00FE6396"/>
    <w:rsid w:val="00FE7752"/>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F8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4CA"/>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paragraph" w:styleId="ListParagraph">
    <w:name w:val="List Paragraph"/>
    <w:basedOn w:val="Normal"/>
    <w:uiPriority w:val="34"/>
    <w:qFormat/>
    <w:rsid w:val="0092250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C51D8"/>
    <w:rPr>
      <w:color w:val="808080"/>
    </w:rPr>
  </w:style>
  <w:style w:type="paragraph" w:styleId="BalloonText">
    <w:name w:val="Balloon Text"/>
    <w:basedOn w:val="Normal"/>
    <w:link w:val="BalloonTextChar"/>
    <w:rsid w:val="009C51D8"/>
    <w:rPr>
      <w:rFonts w:ascii="Tahoma" w:hAnsi="Tahoma" w:cs="Tahoma"/>
      <w:sz w:val="16"/>
      <w:szCs w:val="16"/>
    </w:rPr>
  </w:style>
  <w:style w:type="character" w:customStyle="1" w:styleId="BalloonTextChar">
    <w:name w:val="Balloon Text Char"/>
    <w:basedOn w:val="DefaultParagraphFont"/>
    <w:link w:val="BalloonText"/>
    <w:rsid w:val="009C51D8"/>
    <w:rPr>
      <w:rFonts w:ascii="Tahoma" w:hAnsi="Tahoma" w:cs="Tahoma"/>
      <w:sz w:val="16"/>
      <w:szCs w:val="16"/>
    </w:rPr>
  </w:style>
  <w:style w:type="character" w:customStyle="1" w:styleId="Style1">
    <w:name w:val="Style1"/>
    <w:basedOn w:val="DefaultParagraphFont"/>
    <w:uiPriority w:val="1"/>
    <w:rsid w:val="002B37EF"/>
    <w:rPr>
      <w:rFonts w:ascii="Times New Roman" w:hAnsi="Times New Roman"/>
      <w:color w:val="000000" w:themeColor="text1"/>
      <w:sz w:val="24"/>
    </w:rPr>
  </w:style>
  <w:style w:type="character" w:styleId="CommentReference">
    <w:name w:val="annotation reference"/>
    <w:basedOn w:val="DefaultParagraphFont"/>
    <w:semiHidden/>
    <w:unhideWhenUsed/>
    <w:rsid w:val="005C46EC"/>
    <w:rPr>
      <w:sz w:val="16"/>
      <w:szCs w:val="16"/>
    </w:rPr>
  </w:style>
  <w:style w:type="paragraph" w:styleId="CommentText">
    <w:name w:val="annotation text"/>
    <w:basedOn w:val="Normal"/>
    <w:link w:val="CommentTextChar"/>
    <w:unhideWhenUsed/>
    <w:rsid w:val="005C46EC"/>
    <w:rPr>
      <w:sz w:val="20"/>
      <w:szCs w:val="20"/>
    </w:rPr>
  </w:style>
  <w:style w:type="character" w:customStyle="1" w:styleId="CommentTextChar">
    <w:name w:val="Comment Text Char"/>
    <w:basedOn w:val="DefaultParagraphFont"/>
    <w:link w:val="CommentText"/>
    <w:rsid w:val="005C46EC"/>
  </w:style>
  <w:style w:type="paragraph" w:styleId="CommentSubject">
    <w:name w:val="annotation subject"/>
    <w:basedOn w:val="CommentText"/>
    <w:next w:val="CommentText"/>
    <w:link w:val="CommentSubjectChar"/>
    <w:semiHidden/>
    <w:unhideWhenUsed/>
    <w:rsid w:val="005C46EC"/>
    <w:rPr>
      <w:b/>
      <w:bCs/>
    </w:rPr>
  </w:style>
  <w:style w:type="character" w:customStyle="1" w:styleId="CommentSubjectChar">
    <w:name w:val="Comment Subject Char"/>
    <w:basedOn w:val="CommentTextChar"/>
    <w:link w:val="CommentSubject"/>
    <w:semiHidden/>
    <w:rsid w:val="005C4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062">
      <w:bodyDiv w:val="1"/>
      <w:marLeft w:val="0"/>
      <w:marRight w:val="0"/>
      <w:marTop w:val="0"/>
      <w:marBottom w:val="0"/>
      <w:divBdr>
        <w:top w:val="none" w:sz="0" w:space="0" w:color="auto"/>
        <w:left w:val="none" w:sz="0" w:space="0" w:color="auto"/>
        <w:bottom w:val="none" w:sz="0" w:space="0" w:color="auto"/>
        <w:right w:val="none" w:sz="0" w:space="0" w:color="auto"/>
      </w:divBdr>
    </w:div>
    <w:div w:id="48848461">
      <w:bodyDiv w:val="1"/>
      <w:marLeft w:val="0"/>
      <w:marRight w:val="0"/>
      <w:marTop w:val="0"/>
      <w:marBottom w:val="0"/>
      <w:divBdr>
        <w:top w:val="none" w:sz="0" w:space="0" w:color="auto"/>
        <w:left w:val="none" w:sz="0" w:space="0" w:color="auto"/>
        <w:bottom w:val="none" w:sz="0" w:space="0" w:color="auto"/>
        <w:right w:val="none" w:sz="0" w:space="0" w:color="auto"/>
      </w:divBdr>
    </w:div>
    <w:div w:id="474447570">
      <w:bodyDiv w:val="1"/>
      <w:marLeft w:val="0"/>
      <w:marRight w:val="0"/>
      <w:marTop w:val="0"/>
      <w:marBottom w:val="0"/>
      <w:divBdr>
        <w:top w:val="none" w:sz="0" w:space="0" w:color="auto"/>
        <w:left w:val="none" w:sz="0" w:space="0" w:color="auto"/>
        <w:bottom w:val="none" w:sz="0" w:space="0" w:color="auto"/>
        <w:right w:val="none" w:sz="0" w:space="0" w:color="auto"/>
      </w:divBdr>
    </w:div>
    <w:div w:id="512653076">
      <w:bodyDiv w:val="1"/>
      <w:marLeft w:val="0"/>
      <w:marRight w:val="0"/>
      <w:marTop w:val="0"/>
      <w:marBottom w:val="0"/>
      <w:divBdr>
        <w:top w:val="none" w:sz="0" w:space="0" w:color="auto"/>
        <w:left w:val="none" w:sz="0" w:space="0" w:color="auto"/>
        <w:bottom w:val="none" w:sz="0" w:space="0" w:color="auto"/>
        <w:right w:val="none" w:sz="0" w:space="0" w:color="auto"/>
      </w:divBdr>
    </w:div>
    <w:div w:id="645166686">
      <w:bodyDiv w:val="1"/>
      <w:marLeft w:val="0"/>
      <w:marRight w:val="0"/>
      <w:marTop w:val="0"/>
      <w:marBottom w:val="0"/>
      <w:divBdr>
        <w:top w:val="none" w:sz="0" w:space="0" w:color="auto"/>
        <w:left w:val="none" w:sz="0" w:space="0" w:color="auto"/>
        <w:bottom w:val="none" w:sz="0" w:space="0" w:color="auto"/>
        <w:right w:val="none" w:sz="0" w:space="0" w:color="auto"/>
      </w:divBdr>
    </w:div>
    <w:div w:id="645475510">
      <w:bodyDiv w:val="1"/>
      <w:marLeft w:val="0"/>
      <w:marRight w:val="0"/>
      <w:marTop w:val="0"/>
      <w:marBottom w:val="0"/>
      <w:divBdr>
        <w:top w:val="none" w:sz="0" w:space="0" w:color="auto"/>
        <w:left w:val="none" w:sz="0" w:space="0" w:color="auto"/>
        <w:bottom w:val="none" w:sz="0" w:space="0" w:color="auto"/>
        <w:right w:val="none" w:sz="0" w:space="0" w:color="auto"/>
      </w:divBdr>
    </w:div>
    <w:div w:id="814955212">
      <w:bodyDiv w:val="1"/>
      <w:marLeft w:val="0"/>
      <w:marRight w:val="0"/>
      <w:marTop w:val="0"/>
      <w:marBottom w:val="0"/>
      <w:divBdr>
        <w:top w:val="none" w:sz="0" w:space="0" w:color="auto"/>
        <w:left w:val="none" w:sz="0" w:space="0" w:color="auto"/>
        <w:bottom w:val="none" w:sz="0" w:space="0" w:color="auto"/>
        <w:right w:val="none" w:sz="0" w:space="0" w:color="auto"/>
      </w:divBdr>
    </w:div>
    <w:div w:id="924266298">
      <w:bodyDiv w:val="1"/>
      <w:marLeft w:val="0"/>
      <w:marRight w:val="0"/>
      <w:marTop w:val="0"/>
      <w:marBottom w:val="0"/>
      <w:divBdr>
        <w:top w:val="none" w:sz="0" w:space="0" w:color="auto"/>
        <w:left w:val="none" w:sz="0" w:space="0" w:color="auto"/>
        <w:bottom w:val="none" w:sz="0" w:space="0" w:color="auto"/>
        <w:right w:val="none" w:sz="0" w:space="0" w:color="auto"/>
      </w:divBdr>
    </w:div>
    <w:div w:id="1001346721">
      <w:bodyDiv w:val="1"/>
      <w:marLeft w:val="0"/>
      <w:marRight w:val="0"/>
      <w:marTop w:val="0"/>
      <w:marBottom w:val="0"/>
      <w:divBdr>
        <w:top w:val="none" w:sz="0" w:space="0" w:color="auto"/>
        <w:left w:val="none" w:sz="0" w:space="0" w:color="auto"/>
        <w:bottom w:val="none" w:sz="0" w:space="0" w:color="auto"/>
        <w:right w:val="none" w:sz="0" w:space="0" w:color="auto"/>
      </w:divBdr>
    </w:div>
    <w:div w:id="1049958972">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262254829">
      <w:bodyDiv w:val="1"/>
      <w:marLeft w:val="0"/>
      <w:marRight w:val="0"/>
      <w:marTop w:val="0"/>
      <w:marBottom w:val="0"/>
      <w:divBdr>
        <w:top w:val="none" w:sz="0" w:space="0" w:color="auto"/>
        <w:left w:val="none" w:sz="0" w:space="0" w:color="auto"/>
        <w:bottom w:val="none" w:sz="0" w:space="0" w:color="auto"/>
        <w:right w:val="none" w:sz="0" w:space="0" w:color="auto"/>
      </w:divBdr>
    </w:div>
    <w:div w:id="1690791165">
      <w:bodyDiv w:val="1"/>
      <w:marLeft w:val="0"/>
      <w:marRight w:val="0"/>
      <w:marTop w:val="0"/>
      <w:marBottom w:val="0"/>
      <w:divBdr>
        <w:top w:val="none" w:sz="0" w:space="0" w:color="auto"/>
        <w:left w:val="none" w:sz="0" w:space="0" w:color="auto"/>
        <w:bottom w:val="none" w:sz="0" w:space="0" w:color="auto"/>
        <w:right w:val="none" w:sz="0" w:space="0" w:color="auto"/>
      </w:divBdr>
      <w:divsChild>
        <w:div w:id="709035199">
          <w:marLeft w:val="504"/>
          <w:marRight w:val="0"/>
          <w:marTop w:val="140"/>
          <w:marBottom w:val="0"/>
          <w:divBdr>
            <w:top w:val="none" w:sz="0" w:space="0" w:color="auto"/>
            <w:left w:val="none" w:sz="0" w:space="0" w:color="auto"/>
            <w:bottom w:val="none" w:sz="0" w:space="0" w:color="auto"/>
            <w:right w:val="none" w:sz="0" w:space="0" w:color="auto"/>
          </w:divBdr>
        </w:div>
        <w:div w:id="1029454982">
          <w:marLeft w:val="504"/>
          <w:marRight w:val="0"/>
          <w:marTop w:val="140"/>
          <w:marBottom w:val="0"/>
          <w:divBdr>
            <w:top w:val="none" w:sz="0" w:space="0" w:color="auto"/>
            <w:left w:val="none" w:sz="0" w:space="0" w:color="auto"/>
            <w:bottom w:val="none" w:sz="0" w:space="0" w:color="auto"/>
            <w:right w:val="none" w:sz="0" w:space="0" w:color="auto"/>
          </w:divBdr>
        </w:div>
        <w:div w:id="611210484">
          <w:marLeft w:val="504"/>
          <w:marRight w:val="0"/>
          <w:marTop w:val="140"/>
          <w:marBottom w:val="0"/>
          <w:divBdr>
            <w:top w:val="none" w:sz="0" w:space="0" w:color="auto"/>
            <w:left w:val="none" w:sz="0" w:space="0" w:color="auto"/>
            <w:bottom w:val="none" w:sz="0" w:space="0" w:color="auto"/>
            <w:right w:val="none" w:sz="0" w:space="0" w:color="auto"/>
          </w:divBdr>
        </w:div>
        <w:div w:id="1444612023">
          <w:marLeft w:val="504"/>
          <w:marRight w:val="0"/>
          <w:marTop w:val="140"/>
          <w:marBottom w:val="0"/>
          <w:divBdr>
            <w:top w:val="none" w:sz="0" w:space="0" w:color="auto"/>
            <w:left w:val="none" w:sz="0" w:space="0" w:color="auto"/>
            <w:bottom w:val="none" w:sz="0" w:space="0" w:color="auto"/>
            <w:right w:val="none" w:sz="0" w:space="0" w:color="auto"/>
          </w:divBdr>
        </w:div>
        <w:div w:id="1330670102">
          <w:marLeft w:val="504"/>
          <w:marRight w:val="0"/>
          <w:marTop w:val="140"/>
          <w:marBottom w:val="0"/>
          <w:divBdr>
            <w:top w:val="none" w:sz="0" w:space="0" w:color="auto"/>
            <w:left w:val="none" w:sz="0" w:space="0" w:color="auto"/>
            <w:bottom w:val="none" w:sz="0" w:space="0" w:color="auto"/>
            <w:right w:val="none" w:sz="0" w:space="0" w:color="auto"/>
          </w:divBdr>
        </w:div>
      </w:divsChild>
    </w:div>
    <w:div w:id="1789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9346-1467-45CD-8A53-B2B59A43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6346</CharactersWithSpaces>
  <SharedDoc>false</SharedDoc>
  <HLinks>
    <vt:vector size="6" baseType="variant">
      <vt:variant>
        <vt:i4>65607</vt:i4>
      </vt:variant>
      <vt:variant>
        <vt:i4>3</vt:i4>
      </vt:variant>
      <vt:variant>
        <vt:i4>0</vt:i4>
      </vt:variant>
      <vt:variant>
        <vt:i4>5</vt:i4>
      </vt:variant>
      <vt:variant>
        <vt:lpwstr>https://youtu.be/ZLyUHbexz04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2018-12-01T20:56:00Z</dcterms:created>
  <dcterms:modified xsi:type="dcterms:W3CDTF">2018-12-01T21:23:00Z</dcterms:modified>
</cp:coreProperties>
</file>