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B8" w:rsidRDefault="00E179B8" w:rsidP="000835E5">
      <w:pPr>
        <w:spacing w:line="480" w:lineRule="auto"/>
        <w:contextualSpacing/>
      </w:pPr>
    </w:p>
    <w:p w:rsidR="00E179B8" w:rsidRDefault="00E179B8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895D7F" w:rsidP="000835E5">
      <w:pPr>
        <w:spacing w:line="480" w:lineRule="auto"/>
        <w:contextualSpacing/>
        <w:jc w:val="center"/>
      </w:pPr>
      <w:r>
        <w:t>Title of Essay</w:t>
      </w:r>
    </w:p>
    <w:p w:rsidR="00E179B8" w:rsidRDefault="00E179B8" w:rsidP="000835E5">
      <w:pPr>
        <w:spacing w:line="480" w:lineRule="auto"/>
        <w:contextualSpacing/>
        <w:jc w:val="center"/>
      </w:pPr>
      <w:r>
        <w:t>Author’s Name</w:t>
      </w:r>
    </w:p>
    <w:p w:rsidR="00E179B8" w:rsidRDefault="00E179B8" w:rsidP="000835E5">
      <w:pPr>
        <w:spacing w:line="480" w:lineRule="auto"/>
        <w:contextualSpacing/>
        <w:jc w:val="center"/>
      </w:pPr>
      <w:r>
        <w:t>Grantham University</w:t>
      </w: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F3785" w:rsidRDefault="00EF3785" w:rsidP="000835E5">
      <w:pPr>
        <w:spacing w:line="480" w:lineRule="auto"/>
        <w:contextualSpacing/>
        <w:jc w:val="center"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C21276" w:rsidP="00C21276">
      <w:pPr>
        <w:tabs>
          <w:tab w:val="left" w:pos="1935"/>
          <w:tab w:val="center" w:pos="4680"/>
        </w:tabs>
        <w:spacing w:line="480" w:lineRule="auto"/>
        <w:contextualSpacing/>
      </w:pPr>
      <w:r>
        <w:lastRenderedPageBreak/>
        <w:tab/>
      </w:r>
      <w:r>
        <w:tab/>
      </w:r>
      <w:r w:rsidR="00F24AC9">
        <w:t>Abstract</w:t>
      </w: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  <w:r>
        <w:t xml:space="preserve">Abstracts are research tools that can help you readers determine if the scope of your article/essay will help them in their own research. In APA, abstracts are typically 150-250 words in length and provide an evaluative summary of the essay to follow. The personal opinion of the author is strictly prohibited in abstracts. Unlike a body paragraph, the first line of an abstract is not tabbed-in. For many student essays, especially in lower-numbers courses, an abstract will not be required; still, it is good to practice this skill.  </w:t>
      </w: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A22E8D" w:rsidRDefault="00895D7F" w:rsidP="00F24AC9">
      <w:pPr>
        <w:tabs>
          <w:tab w:val="left" w:pos="1935"/>
          <w:tab w:val="center" w:pos="4680"/>
        </w:tabs>
        <w:spacing w:line="480" w:lineRule="auto"/>
        <w:contextualSpacing/>
        <w:jc w:val="center"/>
      </w:pPr>
      <w:r>
        <w:lastRenderedPageBreak/>
        <w:t>Title of Essay</w:t>
      </w:r>
    </w:p>
    <w:p w:rsidR="00A22E8D" w:rsidRDefault="00A22E8D" w:rsidP="000835E5">
      <w:pPr>
        <w:spacing w:before="240" w:line="480" w:lineRule="auto"/>
        <w:contextualSpacing/>
      </w:pPr>
      <w:r>
        <w:tab/>
        <w:t xml:space="preserve">In APA style, the introduction of the essay should begin here, followed by the body paragraphs. APA is typically a more formal style than most students are </w:t>
      </w:r>
      <w:r w:rsidR="000E4F9B">
        <w:t>accustomed</w:t>
      </w:r>
      <w:r>
        <w:t xml:space="preserve"> to using in a writing course.  For the purposes of </w:t>
      </w:r>
      <w:r w:rsidR="00B355AC">
        <w:t>this course</w:t>
      </w:r>
      <w:r>
        <w:t xml:space="preserve">, the level of formality should be based on the assignment.  For example: APA asks that students always write in third person (avoiding words such as </w:t>
      </w:r>
      <w:proofErr w:type="gramStart"/>
      <w:r>
        <w:rPr>
          <w:i/>
        </w:rPr>
        <w:t>I, me, we, our(s), you, your(s</w:t>
      </w:r>
      <w:proofErr w:type="gramEnd"/>
      <w:r>
        <w:rPr>
          <w:i/>
        </w:rPr>
        <w:t xml:space="preserve">), </w:t>
      </w:r>
      <w:proofErr w:type="spellStart"/>
      <w:r>
        <w:t>etc</w:t>
      </w:r>
      <w:proofErr w:type="spellEnd"/>
      <w:r>
        <w:t xml:space="preserve">).  Certain rhetorical modes, however, don’t cater well to third person (narrative and reflection writing </w:t>
      </w:r>
      <w:r w:rsidR="000835E5">
        <w:t>are two such examples).  In these situations</w:t>
      </w:r>
      <w:r w:rsidR="001551E9">
        <w:t>,</w:t>
      </w:r>
      <w:r w:rsidR="000835E5">
        <w:t xml:space="preserve"> first person (</w:t>
      </w:r>
      <w:r w:rsidR="000835E5">
        <w:rPr>
          <w:i/>
        </w:rPr>
        <w:t xml:space="preserve">I, me, </w:t>
      </w:r>
      <w:proofErr w:type="gramStart"/>
      <w:r w:rsidR="000835E5">
        <w:rPr>
          <w:i/>
        </w:rPr>
        <w:t>we, our(s</w:t>
      </w:r>
      <w:proofErr w:type="gramEnd"/>
      <w:r w:rsidR="000835E5">
        <w:rPr>
          <w:i/>
        </w:rPr>
        <w:t>)</w:t>
      </w:r>
      <w:r w:rsidR="000835E5">
        <w:t>) may be, and should be employed; second person (</w:t>
      </w:r>
      <w:r w:rsidR="000835E5">
        <w:rPr>
          <w:i/>
        </w:rPr>
        <w:t>you, your(s)</w:t>
      </w:r>
      <w:r w:rsidR="000835E5">
        <w:t xml:space="preserve">) should be avoided in all academic writing unless an essay is specifically designed to relay instructions (there are </w:t>
      </w:r>
      <w:r w:rsidR="000E4F9B">
        <w:t>few</w:t>
      </w:r>
      <w:r w:rsidR="000835E5">
        <w:t xml:space="preserve"> assignments that will employ second person</w:t>
      </w:r>
      <w:r w:rsidR="00B355AC">
        <w:t>)</w:t>
      </w:r>
      <w:r w:rsidR="000835E5">
        <w:t xml:space="preserve">.  </w:t>
      </w:r>
    </w:p>
    <w:p w:rsidR="000835E5" w:rsidRDefault="000835E5" w:rsidP="000835E5">
      <w:pPr>
        <w:spacing w:before="240" w:line="480" w:lineRule="auto"/>
        <w:contextualSpacing/>
      </w:pPr>
      <w:r>
        <w:tab/>
        <w:t>Like any essay, students should make sure the</w:t>
      </w:r>
      <w:r w:rsidR="00895D7F">
        <w:t xml:space="preserve">ir essays are formatted with </w:t>
      </w:r>
      <w:r>
        <w:t xml:space="preserve">one inch margins, </w:t>
      </w:r>
      <w:r w:rsidR="00895D7F">
        <w:t>with their text</w:t>
      </w:r>
      <w:r>
        <w:t xml:space="preserve"> exclusively in Times New Roman 12</w:t>
      </w:r>
      <w:r w:rsidR="00B355AC">
        <w:t>-</w:t>
      </w:r>
      <w:r>
        <w:t xml:space="preserve">point font, and </w:t>
      </w:r>
      <w:r w:rsidR="00895D7F">
        <w:t xml:space="preserve">students should </w:t>
      </w:r>
      <w:r>
        <w:t xml:space="preserve">double space their lines.  This document can be downloaded and used as a template wherein students may simply replace names, titles, dates, and so on with their own information. </w:t>
      </w:r>
      <w:r>
        <w:tab/>
      </w:r>
    </w:p>
    <w:p w:rsidR="000835E5" w:rsidRDefault="000835E5" w:rsidP="000835E5">
      <w:pPr>
        <w:spacing w:before="240" w:line="480" w:lineRule="auto"/>
        <w:contextualSpacing/>
      </w:pPr>
      <w:r>
        <w:tab/>
        <w:t xml:space="preserve">The final page of this document will demonstrate a References page.  </w:t>
      </w:r>
      <w:r w:rsidR="00F86CCA">
        <w:t xml:space="preserve">If a student uses information from any source, that source must be identified within the text and listed on a References page.  These citations should be listed in alphabetical order and, opposite to the way a normal paragraph works, the first line should be flush left and each following line should be tabbed in.  </w:t>
      </w:r>
      <w:r w:rsidR="000E4F9B">
        <w:t>Though there is really no substitute for a good APA Style Manual, s</w:t>
      </w:r>
      <w:r w:rsidR="00F86CCA">
        <w:t xml:space="preserve">tudents </w:t>
      </w:r>
      <w:r w:rsidR="000E4F9B">
        <w:t>can</w:t>
      </w:r>
      <w:r w:rsidR="00F86CCA">
        <w:t xml:space="preserve"> refer to a citation generator such as </w:t>
      </w:r>
      <w:hyperlink r:id="rId6" w:history="1">
        <w:r w:rsidR="00F86CCA" w:rsidRPr="00446903">
          <w:rPr>
            <w:rStyle w:val="Hyperlink"/>
          </w:rPr>
          <w:t>www.citationmachine.net</w:t>
        </w:r>
      </w:hyperlink>
      <w:r w:rsidR="00F86CCA">
        <w:t xml:space="preserve"> to ensure proper formatting</w:t>
      </w:r>
      <w:r w:rsidR="00F52BF8">
        <w:t xml:space="preserve">, as well as </w:t>
      </w:r>
      <w:bookmarkStart w:id="0" w:name="_GoBack"/>
      <w:bookmarkEnd w:id="0"/>
      <w:r w:rsidR="00F52BF8">
        <w:t>contact Grantham’s Writing Center or the course instructor for additional assistance</w:t>
      </w:r>
      <w:r w:rsidR="00F86CCA">
        <w:t xml:space="preserve">.  </w:t>
      </w:r>
    </w:p>
    <w:p w:rsidR="000835E5" w:rsidRDefault="000835E5" w:rsidP="000835E5">
      <w:pPr>
        <w:spacing w:before="240" w:line="480" w:lineRule="auto"/>
        <w:contextualSpacing/>
      </w:pPr>
    </w:p>
    <w:p w:rsidR="00B355AC" w:rsidRDefault="00B355AC" w:rsidP="000835E5">
      <w:pPr>
        <w:spacing w:before="240" w:line="480" w:lineRule="auto"/>
        <w:contextualSpacing/>
        <w:jc w:val="center"/>
      </w:pPr>
    </w:p>
    <w:p w:rsidR="000835E5" w:rsidRDefault="000835E5" w:rsidP="000835E5">
      <w:pPr>
        <w:spacing w:before="240" w:line="480" w:lineRule="auto"/>
        <w:contextualSpacing/>
        <w:jc w:val="center"/>
      </w:pPr>
      <w:r>
        <w:lastRenderedPageBreak/>
        <w:t>References</w:t>
      </w:r>
    </w:p>
    <w:p w:rsidR="004345E1" w:rsidRPr="005A1E0E" w:rsidRDefault="004345E1" w:rsidP="004345E1">
      <w:pPr>
        <w:spacing w:before="240" w:line="480" w:lineRule="auto"/>
        <w:contextualSpacing/>
        <w:rPr>
          <w:i/>
        </w:rPr>
      </w:pPr>
      <w:proofErr w:type="spellStart"/>
      <w:r>
        <w:t>Badley</w:t>
      </w:r>
      <w:proofErr w:type="spellEnd"/>
      <w:r>
        <w:t xml:space="preserve">, G. (2009). A place from where to speak: The university and academic freedom. </w:t>
      </w:r>
      <w:r w:rsidRPr="005A1E0E">
        <w:rPr>
          <w:i/>
        </w:rPr>
        <w:t xml:space="preserve">British </w:t>
      </w:r>
    </w:p>
    <w:p w:rsidR="004345E1" w:rsidRDefault="004345E1" w:rsidP="004345E1">
      <w:pPr>
        <w:spacing w:before="240" w:line="480" w:lineRule="auto"/>
        <w:contextualSpacing/>
      </w:pPr>
      <w:r w:rsidRPr="005A1E0E">
        <w:rPr>
          <w:i/>
        </w:rPr>
        <w:tab/>
        <w:t>Journal of Educational Studies</w:t>
      </w:r>
      <w:r>
        <w:t>, 57(2), 146-163. doi:10.1111/j.1467-</w:t>
      </w:r>
    </w:p>
    <w:p w:rsidR="004345E1" w:rsidRDefault="004345E1" w:rsidP="004345E1">
      <w:pPr>
        <w:spacing w:before="240" w:line="480" w:lineRule="auto"/>
        <w:contextualSpacing/>
      </w:pPr>
      <w:r>
        <w:tab/>
        <w:t>8527.2009.00429</w:t>
      </w:r>
      <w:proofErr w:type="gramStart"/>
      <w:r>
        <w:t>.x</w:t>
      </w:r>
      <w:proofErr w:type="gramEnd"/>
    </w:p>
    <w:p w:rsidR="005A1E0E" w:rsidRDefault="005A1E0E" w:rsidP="005A1E0E">
      <w:pPr>
        <w:spacing w:before="240" w:line="480" w:lineRule="auto"/>
        <w:contextualSpacing/>
      </w:pPr>
      <w:proofErr w:type="spellStart"/>
      <w:r>
        <w:t>Baumanns</w:t>
      </w:r>
      <w:proofErr w:type="spellEnd"/>
      <w:r>
        <w:t xml:space="preserve">, M., </w:t>
      </w:r>
      <w:proofErr w:type="spellStart"/>
      <w:r>
        <w:t>Biedenkopf</w:t>
      </w:r>
      <w:proofErr w:type="spellEnd"/>
      <w:r>
        <w:t xml:space="preserve">, K., Cole, J. R., Kerrey, B., &amp; Lee, B. (2009). The future of </w:t>
      </w:r>
    </w:p>
    <w:p w:rsidR="005A1E0E" w:rsidRDefault="005A1E0E" w:rsidP="005A1E0E">
      <w:pPr>
        <w:spacing w:before="240" w:line="480" w:lineRule="auto"/>
        <w:contextualSpacing/>
      </w:pPr>
      <w:r>
        <w:tab/>
      </w:r>
      <w:proofErr w:type="gramStart"/>
      <w:r>
        <w:t>universities</w:t>
      </w:r>
      <w:proofErr w:type="gramEnd"/>
      <w:r>
        <w:t xml:space="preserve"> and the fate of free inquiry and academic freedom: Question and answer </w:t>
      </w:r>
    </w:p>
    <w:p w:rsidR="005A1E0E" w:rsidRDefault="005A1E0E" w:rsidP="005A1E0E">
      <w:pPr>
        <w:spacing w:before="240" w:line="480" w:lineRule="auto"/>
        <w:contextualSpacing/>
      </w:pPr>
      <w:r>
        <w:tab/>
      </w:r>
      <w:proofErr w:type="gramStart"/>
      <w:r>
        <w:t>session</w:t>
      </w:r>
      <w:proofErr w:type="gramEnd"/>
      <w:r>
        <w:t xml:space="preserve">. </w:t>
      </w:r>
      <w:r w:rsidRPr="005A1E0E">
        <w:rPr>
          <w:i/>
        </w:rPr>
        <w:t>Social Research</w:t>
      </w:r>
      <w:r>
        <w:t>, 76(3), 867-886. Retrieved from EBSCOhost.</w:t>
      </w:r>
    </w:p>
    <w:p w:rsidR="004345E1" w:rsidRPr="005A1E0E" w:rsidRDefault="004345E1" w:rsidP="004345E1">
      <w:pPr>
        <w:spacing w:before="240" w:line="480" w:lineRule="auto"/>
        <w:contextualSpacing/>
        <w:rPr>
          <w:i/>
        </w:rPr>
      </w:pPr>
      <w:proofErr w:type="spellStart"/>
      <w:r>
        <w:t>Berthoff</w:t>
      </w:r>
      <w:proofErr w:type="spellEnd"/>
      <w:r>
        <w:t xml:space="preserve">, A. E. (2009). Learning the uses of chaos. In S. Miller (Ed.), </w:t>
      </w:r>
      <w:proofErr w:type="gramStart"/>
      <w:r w:rsidRPr="005A1E0E">
        <w:rPr>
          <w:i/>
        </w:rPr>
        <w:t>The</w:t>
      </w:r>
      <w:proofErr w:type="gramEnd"/>
      <w:r w:rsidRPr="005A1E0E">
        <w:rPr>
          <w:i/>
        </w:rPr>
        <w:t xml:space="preserve"> Norton </w:t>
      </w:r>
      <w:r w:rsidR="005A1E0E">
        <w:rPr>
          <w:i/>
        </w:rPr>
        <w:t>B</w:t>
      </w:r>
      <w:r w:rsidRPr="005A1E0E">
        <w:rPr>
          <w:i/>
        </w:rPr>
        <w:t xml:space="preserve">ook of </w:t>
      </w:r>
    </w:p>
    <w:p w:rsidR="004345E1" w:rsidRDefault="005A1E0E" w:rsidP="004345E1">
      <w:pPr>
        <w:spacing w:before="240" w:line="480" w:lineRule="auto"/>
        <w:ind w:firstLine="720"/>
        <w:contextualSpacing/>
      </w:pPr>
      <w:r>
        <w:rPr>
          <w:i/>
        </w:rPr>
        <w:t>C</w:t>
      </w:r>
      <w:r w:rsidR="004345E1" w:rsidRPr="005A1E0E">
        <w:rPr>
          <w:i/>
        </w:rPr>
        <w:t xml:space="preserve">omposition </w:t>
      </w:r>
      <w:r>
        <w:rPr>
          <w:i/>
        </w:rPr>
        <w:t>S</w:t>
      </w:r>
      <w:r w:rsidR="004345E1" w:rsidRPr="005A1E0E">
        <w:rPr>
          <w:i/>
        </w:rPr>
        <w:t xml:space="preserve">tudies </w:t>
      </w:r>
      <w:r w:rsidR="004345E1">
        <w:t>(pp. 649). New York: W. W. Norton &amp; Company.</w:t>
      </w:r>
    </w:p>
    <w:p w:rsidR="004345E1" w:rsidRDefault="00F86CCA" w:rsidP="004345E1">
      <w:pPr>
        <w:spacing w:before="240" w:line="480" w:lineRule="auto"/>
        <w:contextualSpacing/>
        <w:rPr>
          <w:i/>
          <w:iCs/>
        </w:rPr>
      </w:pPr>
      <w:r w:rsidRPr="00F86CCA">
        <w:t xml:space="preserve">Carroll, L. (2000) </w:t>
      </w:r>
      <w:proofErr w:type="gramStart"/>
      <w:r w:rsidRPr="00F86CCA">
        <w:rPr>
          <w:i/>
          <w:iCs/>
        </w:rPr>
        <w:t>The</w:t>
      </w:r>
      <w:proofErr w:type="gramEnd"/>
      <w:r w:rsidRPr="00F86CCA">
        <w:rPr>
          <w:i/>
          <w:iCs/>
        </w:rPr>
        <w:t xml:space="preserve"> </w:t>
      </w:r>
      <w:r w:rsidR="005A1E0E">
        <w:rPr>
          <w:i/>
          <w:iCs/>
        </w:rPr>
        <w:t>A</w:t>
      </w:r>
      <w:r w:rsidRPr="00F86CCA">
        <w:rPr>
          <w:i/>
          <w:iCs/>
        </w:rPr>
        <w:t xml:space="preserve">nnotated Alice: The </w:t>
      </w:r>
      <w:r w:rsidR="005A1E0E">
        <w:rPr>
          <w:i/>
          <w:iCs/>
        </w:rPr>
        <w:t>D</w:t>
      </w:r>
      <w:r w:rsidRPr="00F86CCA">
        <w:rPr>
          <w:i/>
          <w:iCs/>
        </w:rPr>
        <w:t xml:space="preserve">efinitive </w:t>
      </w:r>
      <w:r w:rsidR="005A1E0E">
        <w:rPr>
          <w:i/>
          <w:iCs/>
        </w:rPr>
        <w:t>E</w:t>
      </w:r>
      <w:r w:rsidRPr="00F86CCA">
        <w:rPr>
          <w:i/>
          <w:iCs/>
        </w:rPr>
        <w:t xml:space="preserve">dition. </w:t>
      </w:r>
      <w:r w:rsidRPr="00F86CCA">
        <w:t xml:space="preserve">M. Gardner (Ed.) NY: Norton. Elbow, P. (2000). Getting along without grades—and getting along with them too. </w:t>
      </w:r>
      <w:r w:rsidRPr="00F86CCA">
        <w:rPr>
          <w:i/>
          <w:iCs/>
        </w:rPr>
        <w:t xml:space="preserve">Everyone </w:t>
      </w:r>
      <w:r w:rsidR="005A1E0E">
        <w:rPr>
          <w:i/>
          <w:iCs/>
        </w:rPr>
        <w:t>C</w:t>
      </w:r>
      <w:r w:rsidRPr="00F86CCA">
        <w:rPr>
          <w:i/>
          <w:iCs/>
        </w:rPr>
        <w:t xml:space="preserve">an </w:t>
      </w:r>
    </w:p>
    <w:p w:rsidR="000835E5" w:rsidRPr="00F86CCA" w:rsidRDefault="005A1E0E" w:rsidP="004345E1">
      <w:pPr>
        <w:spacing w:before="240" w:line="480" w:lineRule="auto"/>
        <w:ind w:left="720"/>
        <w:contextualSpacing/>
      </w:pPr>
      <w:r>
        <w:rPr>
          <w:i/>
          <w:iCs/>
        </w:rPr>
        <w:t>W</w:t>
      </w:r>
      <w:r w:rsidR="00F86CCA" w:rsidRPr="00F86CCA">
        <w:rPr>
          <w:i/>
          <w:iCs/>
        </w:rPr>
        <w:t xml:space="preserve">rite: Essays </w:t>
      </w:r>
      <w:r>
        <w:rPr>
          <w:i/>
          <w:iCs/>
        </w:rPr>
        <w:t>T</w:t>
      </w:r>
      <w:r w:rsidR="00F86CCA" w:rsidRPr="00F86CCA">
        <w:rPr>
          <w:i/>
          <w:iCs/>
        </w:rPr>
        <w:t xml:space="preserve">oward a </w:t>
      </w:r>
      <w:r>
        <w:rPr>
          <w:i/>
          <w:iCs/>
        </w:rPr>
        <w:t>H</w:t>
      </w:r>
      <w:r w:rsidR="00F86CCA" w:rsidRPr="00F86CCA">
        <w:rPr>
          <w:i/>
          <w:iCs/>
        </w:rPr>
        <w:t xml:space="preserve">opeful </w:t>
      </w:r>
      <w:r>
        <w:rPr>
          <w:i/>
          <w:iCs/>
        </w:rPr>
        <w:t>T</w:t>
      </w:r>
      <w:r w:rsidR="00F86CCA" w:rsidRPr="00F86CCA">
        <w:rPr>
          <w:i/>
          <w:iCs/>
        </w:rPr>
        <w:t xml:space="preserve">heory of </w:t>
      </w:r>
      <w:r>
        <w:rPr>
          <w:i/>
          <w:iCs/>
        </w:rPr>
        <w:t>W</w:t>
      </w:r>
      <w:r w:rsidR="00F86CCA" w:rsidRPr="00F86CCA">
        <w:rPr>
          <w:i/>
          <w:iCs/>
        </w:rPr>
        <w:t xml:space="preserve">riting and </w:t>
      </w:r>
      <w:r>
        <w:rPr>
          <w:i/>
          <w:iCs/>
        </w:rPr>
        <w:t>T</w:t>
      </w:r>
      <w:r w:rsidR="00F86CCA" w:rsidRPr="00F86CCA">
        <w:rPr>
          <w:i/>
          <w:iCs/>
        </w:rPr>
        <w:t xml:space="preserve">eaching </w:t>
      </w:r>
      <w:r>
        <w:rPr>
          <w:i/>
          <w:iCs/>
        </w:rPr>
        <w:t>W</w:t>
      </w:r>
      <w:r w:rsidR="00F86CCA" w:rsidRPr="00F86CCA">
        <w:rPr>
          <w:i/>
          <w:iCs/>
        </w:rPr>
        <w:t>riting</w:t>
      </w:r>
      <w:r w:rsidR="00F86CCA" w:rsidRPr="00F86CCA">
        <w:t>. NY: Oxford University Press.</w:t>
      </w:r>
    </w:p>
    <w:sectPr w:rsidR="000835E5" w:rsidRPr="00F86CCA" w:rsidSect="003069E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96" w:rsidRDefault="009E1096" w:rsidP="00A22E8D">
      <w:pPr>
        <w:spacing w:after="0" w:line="240" w:lineRule="auto"/>
      </w:pPr>
      <w:r>
        <w:separator/>
      </w:r>
    </w:p>
  </w:endnote>
  <w:endnote w:type="continuationSeparator" w:id="0">
    <w:p w:rsidR="009E1096" w:rsidRDefault="009E1096" w:rsidP="00A2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96" w:rsidRDefault="009E1096" w:rsidP="00A22E8D">
      <w:pPr>
        <w:spacing w:after="0" w:line="240" w:lineRule="auto"/>
      </w:pPr>
      <w:r>
        <w:separator/>
      </w:r>
    </w:p>
  </w:footnote>
  <w:footnote w:type="continuationSeparator" w:id="0">
    <w:p w:rsidR="009E1096" w:rsidRDefault="009E1096" w:rsidP="00A2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751"/>
      <w:docPartObj>
        <w:docPartGallery w:val="Page Numbers (Top of Page)"/>
        <w:docPartUnique/>
      </w:docPartObj>
    </w:sdtPr>
    <w:sdtEndPr/>
    <w:sdtContent>
      <w:p w:rsidR="000835E5" w:rsidRDefault="00895D7F">
        <w:pPr>
          <w:pStyle w:val="Header"/>
          <w:jc w:val="right"/>
        </w:pPr>
        <w:r>
          <w:t>TITLE OF ESSAY</w:t>
        </w:r>
        <w:r w:rsidR="00EF3785">
          <w:tab/>
        </w:r>
        <w:r w:rsidR="00EF3785">
          <w:tab/>
        </w:r>
        <w:r w:rsidR="000835E5">
          <w:t xml:space="preserve"> </w:t>
        </w:r>
        <w:r w:rsidR="003069E0">
          <w:fldChar w:fldCharType="begin"/>
        </w:r>
        <w:r w:rsidR="003069E0">
          <w:instrText xml:space="preserve"> PAGE   \* MERGEFORMAT </w:instrText>
        </w:r>
        <w:r w:rsidR="003069E0">
          <w:fldChar w:fldCharType="separate"/>
        </w:r>
        <w:r w:rsidR="00F52BF8">
          <w:rPr>
            <w:noProof/>
          </w:rPr>
          <w:t>4</w:t>
        </w:r>
        <w:r w:rsidR="003069E0">
          <w:rPr>
            <w:noProof/>
          </w:rPr>
          <w:fldChar w:fldCharType="end"/>
        </w:r>
      </w:p>
    </w:sdtContent>
  </w:sdt>
  <w:p w:rsidR="000835E5" w:rsidRDefault="00083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40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69E0" w:rsidRDefault="003069E0">
        <w:pPr>
          <w:pStyle w:val="Header"/>
          <w:jc w:val="right"/>
        </w:pPr>
        <w:r w:rsidRPr="003069E0">
          <w:t>Running head:  TITLE OF ESSAY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B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785" w:rsidRPr="003069E0" w:rsidRDefault="00EF3785" w:rsidP="00306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B8"/>
    <w:rsid w:val="00050683"/>
    <w:rsid w:val="000835E5"/>
    <w:rsid w:val="000B7704"/>
    <w:rsid w:val="000D0DB9"/>
    <w:rsid w:val="000E4F9B"/>
    <w:rsid w:val="001551E9"/>
    <w:rsid w:val="00186E36"/>
    <w:rsid w:val="00190892"/>
    <w:rsid w:val="0021330B"/>
    <w:rsid w:val="002205FE"/>
    <w:rsid w:val="00233712"/>
    <w:rsid w:val="003069E0"/>
    <w:rsid w:val="003B73C4"/>
    <w:rsid w:val="004345E1"/>
    <w:rsid w:val="005A1E0E"/>
    <w:rsid w:val="005D4CE0"/>
    <w:rsid w:val="006D14E3"/>
    <w:rsid w:val="00895D7F"/>
    <w:rsid w:val="009E1096"/>
    <w:rsid w:val="00A22E8D"/>
    <w:rsid w:val="00A500E7"/>
    <w:rsid w:val="00A765D8"/>
    <w:rsid w:val="00B355AC"/>
    <w:rsid w:val="00C21276"/>
    <w:rsid w:val="00E179B8"/>
    <w:rsid w:val="00E60980"/>
    <w:rsid w:val="00E76286"/>
    <w:rsid w:val="00EB20F3"/>
    <w:rsid w:val="00EE3EEA"/>
    <w:rsid w:val="00EF3785"/>
    <w:rsid w:val="00F24AC9"/>
    <w:rsid w:val="00F52BF8"/>
    <w:rsid w:val="00F827F2"/>
    <w:rsid w:val="00F838EA"/>
    <w:rsid w:val="00F86CC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FAE32-6D37-4918-8DDB-FA07B09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8D"/>
  </w:style>
  <w:style w:type="paragraph" w:styleId="Footer">
    <w:name w:val="footer"/>
    <w:basedOn w:val="Normal"/>
    <w:link w:val="FooterChar"/>
    <w:uiPriority w:val="99"/>
    <w:unhideWhenUsed/>
    <w:rsid w:val="00A2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8D"/>
  </w:style>
  <w:style w:type="character" w:styleId="Hyperlink">
    <w:name w:val="Hyperlink"/>
    <w:basedOn w:val="DefaultParagraphFont"/>
    <w:uiPriority w:val="99"/>
    <w:unhideWhenUsed/>
    <w:rsid w:val="00F86CCA"/>
    <w:rPr>
      <w:color w:val="0000FF" w:themeColor="hyperlink"/>
      <w:u w:val="single"/>
    </w:rPr>
  </w:style>
  <w:style w:type="paragraph" w:customStyle="1" w:styleId="Default">
    <w:name w:val="Default"/>
    <w:rsid w:val="00F86CC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ationmachin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tgoss</dc:creator>
  <cp:lastModifiedBy>Jennifer Shreckengost</cp:lastModifiedBy>
  <cp:revision>2</cp:revision>
  <dcterms:created xsi:type="dcterms:W3CDTF">2015-07-13T19:26:00Z</dcterms:created>
  <dcterms:modified xsi:type="dcterms:W3CDTF">2015-07-13T19:26:00Z</dcterms:modified>
</cp:coreProperties>
</file>